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DCF" w14:textId="127EBB26" w:rsidR="00157184" w:rsidRPr="00012D58" w:rsidRDefault="00157184" w:rsidP="00157184">
      <w:pPr>
        <w:pStyle w:val="CRCoverPage"/>
        <w:tabs>
          <w:tab w:val="right" w:pos="9639"/>
        </w:tabs>
        <w:spacing w:after="0" w:line="360" w:lineRule="auto"/>
        <w:jc w:val="both"/>
        <w:rPr>
          <w:b/>
          <w:sz w:val="28"/>
          <w:szCs w:val="28"/>
          <w:lang w:eastAsia="en-GB"/>
        </w:rPr>
      </w:pPr>
      <w:r w:rsidRPr="00012D58">
        <w:rPr>
          <w:b/>
          <w:sz w:val="28"/>
          <w:szCs w:val="28"/>
          <w:lang w:eastAsia="en-GB"/>
        </w:rPr>
        <w:t>3GPP TSG-RAN WG2 Meeting 107</w:t>
      </w:r>
      <w:r w:rsidR="00B13192">
        <w:rPr>
          <w:b/>
          <w:sz w:val="28"/>
          <w:szCs w:val="28"/>
          <w:lang w:eastAsia="en-GB"/>
        </w:rPr>
        <w:t>bis</w:t>
      </w:r>
      <w:r w:rsidRPr="00012D58">
        <w:rPr>
          <w:b/>
          <w:sz w:val="28"/>
          <w:szCs w:val="28"/>
          <w:lang w:eastAsia="en-GB"/>
        </w:rPr>
        <w:tab/>
      </w:r>
      <w:bookmarkStart w:id="0" w:name="OLE_LINK417"/>
      <w:bookmarkStart w:id="1" w:name="OLE_LINK418"/>
      <w:r w:rsidR="00430B8A">
        <w:rPr>
          <w:b/>
          <w:sz w:val="28"/>
          <w:szCs w:val="28"/>
          <w:lang w:eastAsia="en-GB"/>
        </w:rPr>
        <w:t>R2-191</w:t>
      </w:r>
      <w:r w:rsidR="0022061F">
        <w:rPr>
          <w:b/>
          <w:sz w:val="28"/>
          <w:szCs w:val="28"/>
          <w:lang w:eastAsia="en-GB"/>
        </w:rPr>
        <w:t>3035</w:t>
      </w:r>
    </w:p>
    <w:bookmarkEnd w:id="0"/>
    <w:bookmarkEnd w:id="1"/>
    <w:p w14:paraId="0C4FDF86" w14:textId="313E69FA" w:rsidR="0032193D" w:rsidRPr="006114BA" w:rsidRDefault="005137EC" w:rsidP="006114BA">
      <w:pPr>
        <w:pStyle w:val="CRCoverPage"/>
        <w:spacing w:line="360" w:lineRule="auto"/>
        <w:jc w:val="both"/>
        <w:outlineLvl w:val="0"/>
      </w:pPr>
      <w:r>
        <w:rPr>
          <w:b/>
          <w:sz w:val="28"/>
          <w:szCs w:val="28"/>
          <w:lang w:eastAsia="en-GB"/>
        </w:rPr>
        <w:t>Chongqing</w:t>
      </w:r>
      <w:r w:rsidR="00157184" w:rsidRPr="00012D58">
        <w:rPr>
          <w:b/>
          <w:sz w:val="28"/>
          <w:szCs w:val="28"/>
          <w:lang w:eastAsia="en-GB"/>
        </w:rPr>
        <w:t xml:space="preserve">, </w:t>
      </w:r>
      <w:r w:rsidR="00E1402B">
        <w:rPr>
          <w:b/>
          <w:sz w:val="28"/>
          <w:szCs w:val="28"/>
          <w:lang w:eastAsia="en-GB"/>
        </w:rPr>
        <w:t>China</w:t>
      </w:r>
      <w:r w:rsidR="00157184" w:rsidRPr="00012D58">
        <w:rPr>
          <w:b/>
          <w:sz w:val="28"/>
          <w:szCs w:val="28"/>
          <w:lang w:eastAsia="en-GB"/>
        </w:rPr>
        <w:t xml:space="preserve">, </w:t>
      </w:r>
      <w:r w:rsidR="00E1402B">
        <w:rPr>
          <w:b/>
          <w:sz w:val="28"/>
          <w:szCs w:val="28"/>
          <w:lang w:eastAsia="en-GB"/>
        </w:rPr>
        <w:t>14</w:t>
      </w:r>
      <w:r w:rsidR="00157184" w:rsidRPr="00012D58">
        <w:rPr>
          <w:b/>
          <w:sz w:val="28"/>
          <w:szCs w:val="28"/>
          <w:lang w:eastAsia="en-GB"/>
        </w:rPr>
        <w:t xml:space="preserve"> – </w:t>
      </w:r>
      <w:r w:rsidR="00E1402B">
        <w:rPr>
          <w:b/>
          <w:sz w:val="28"/>
          <w:szCs w:val="28"/>
          <w:lang w:eastAsia="en-GB"/>
        </w:rPr>
        <w:t>18</w:t>
      </w:r>
      <w:r w:rsidR="00157184" w:rsidRPr="00012D58">
        <w:rPr>
          <w:b/>
          <w:sz w:val="28"/>
          <w:szCs w:val="28"/>
          <w:lang w:eastAsia="en-GB"/>
        </w:rPr>
        <w:t xml:space="preserve"> </w:t>
      </w:r>
      <w:r w:rsidR="001E21DC">
        <w:rPr>
          <w:b/>
          <w:sz w:val="28"/>
          <w:szCs w:val="28"/>
          <w:lang w:eastAsia="en-GB"/>
        </w:rPr>
        <w:t>Oct</w:t>
      </w:r>
      <w:r w:rsidR="009E391C">
        <w:rPr>
          <w:b/>
          <w:sz w:val="28"/>
          <w:szCs w:val="28"/>
          <w:lang w:eastAsia="en-GB"/>
        </w:rPr>
        <w:t>.</w:t>
      </w:r>
      <w:r w:rsidR="00157184" w:rsidRPr="00012D58">
        <w:rPr>
          <w:b/>
          <w:sz w:val="28"/>
          <w:szCs w:val="28"/>
          <w:lang w:eastAsia="en-GB"/>
        </w:rPr>
        <w:t xml:space="preserve">, 2019                       </w:t>
      </w:r>
    </w:p>
    <w:p w14:paraId="7B1C50E2" w14:textId="31A8DFF4" w:rsidR="00B04AFE" w:rsidRPr="004D2AAE" w:rsidRDefault="00B04AFE" w:rsidP="00B04AFE">
      <w:pPr>
        <w:pStyle w:val="3GPPHeader"/>
        <w:rPr>
          <w:sz w:val="22"/>
          <w:szCs w:val="22"/>
          <w:lang w:val="en-US"/>
        </w:rPr>
      </w:pPr>
      <w:bookmarkStart w:id="2" w:name="_Toc423020280"/>
      <w:bookmarkStart w:id="3" w:name="_Toc766283"/>
      <w:bookmarkStart w:id="4" w:name="_Toc868954"/>
      <w:bookmarkStart w:id="5" w:name="_Toc868994"/>
      <w:bookmarkStart w:id="6" w:name="_Toc878629"/>
      <w:bookmarkStart w:id="7" w:name="_Toc878642"/>
      <w:bookmarkStart w:id="8" w:name="_Toc878706"/>
      <w:bookmarkStart w:id="9" w:name="_Toc878720"/>
      <w:bookmarkStart w:id="10" w:name="_Toc878730"/>
      <w:bookmarkStart w:id="11" w:name="_Toc878761"/>
      <w:bookmarkStart w:id="12" w:name="_Toc766284"/>
      <w:bookmarkStart w:id="13" w:name="_Toc868955"/>
      <w:bookmarkStart w:id="14" w:name="_Toc868995"/>
      <w:bookmarkStart w:id="15" w:name="_Toc878630"/>
      <w:bookmarkStart w:id="16" w:name="_Toc878643"/>
      <w:bookmarkStart w:id="17" w:name="_Toc878707"/>
      <w:bookmarkStart w:id="18" w:name="_Toc878721"/>
      <w:bookmarkStart w:id="19" w:name="_Toc878731"/>
      <w:bookmarkStart w:id="20" w:name="_Toc878762"/>
      <w:bookmarkStart w:id="21" w:name="_Toc525565501"/>
      <w:bookmarkStart w:id="22" w:name="_Toc465844068"/>
      <w:bookmarkStart w:id="23" w:name="_Toc465844075"/>
      <w:bookmarkStart w:id="24" w:name="_Toc465844076"/>
      <w:bookmarkStart w:id="25" w:name="_Toc465844077"/>
      <w:bookmarkStart w:id="26" w:name="_Toc465844078"/>
      <w:bookmarkStart w:id="27" w:name="_Toc4658440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4D2AAE">
        <w:rPr>
          <w:sz w:val="22"/>
          <w:szCs w:val="22"/>
          <w:lang w:val="en-US"/>
        </w:rPr>
        <w:t>Agenda Item:</w:t>
      </w:r>
      <w:r w:rsidRPr="004D2AAE">
        <w:rPr>
          <w:sz w:val="22"/>
          <w:szCs w:val="22"/>
          <w:lang w:val="en-US"/>
        </w:rPr>
        <w:tab/>
      </w:r>
      <w:r w:rsidR="0022061F" w:rsidRPr="0022061F">
        <w:rPr>
          <w:sz w:val="22"/>
          <w:szCs w:val="22"/>
          <w:lang w:val="en-US"/>
        </w:rPr>
        <w:t>6.2.2.3</w:t>
      </w:r>
    </w:p>
    <w:p w14:paraId="0857E205" w14:textId="77777777" w:rsidR="00B04AFE" w:rsidRPr="00901182" w:rsidRDefault="00B04AFE" w:rsidP="00B04AFE">
      <w:pPr>
        <w:pStyle w:val="3GPPHeader"/>
        <w:rPr>
          <w:sz w:val="22"/>
          <w:szCs w:val="22"/>
          <w:lang w:val="en-US"/>
        </w:rPr>
      </w:pPr>
      <w:r w:rsidRPr="00901182">
        <w:rPr>
          <w:sz w:val="22"/>
          <w:szCs w:val="22"/>
          <w:lang w:val="en-US"/>
        </w:rPr>
        <w:t>Source:</w:t>
      </w:r>
      <w:r w:rsidRPr="00901182">
        <w:rPr>
          <w:sz w:val="22"/>
          <w:szCs w:val="22"/>
          <w:lang w:val="en-US"/>
        </w:rPr>
        <w:tab/>
      </w:r>
      <w:r w:rsidRPr="00D62075">
        <w:rPr>
          <w:sz w:val="22"/>
          <w:szCs w:val="22"/>
          <w:lang w:val="en-US"/>
        </w:rPr>
        <w:t>Huawei, HiSilicon</w:t>
      </w:r>
    </w:p>
    <w:p w14:paraId="2E868D4B" w14:textId="175591F9" w:rsidR="00B04AFE" w:rsidRPr="00901182" w:rsidRDefault="00B04AFE" w:rsidP="00B04AFE">
      <w:pPr>
        <w:pStyle w:val="3GPPHeader"/>
        <w:rPr>
          <w:sz w:val="22"/>
          <w:szCs w:val="22"/>
          <w:lang w:val="en-US"/>
        </w:rPr>
      </w:pPr>
      <w:r w:rsidRPr="00901182">
        <w:rPr>
          <w:sz w:val="22"/>
          <w:szCs w:val="22"/>
          <w:lang w:val="en-US"/>
        </w:rPr>
        <w:t>Title:</w:t>
      </w:r>
      <w:r w:rsidRPr="00901182">
        <w:rPr>
          <w:sz w:val="22"/>
          <w:szCs w:val="22"/>
          <w:lang w:val="en-US"/>
        </w:rPr>
        <w:tab/>
      </w:r>
      <w:r w:rsidR="00A050E7">
        <w:rPr>
          <w:sz w:val="22"/>
          <w:szCs w:val="22"/>
          <w:lang w:val="en-US"/>
        </w:rPr>
        <w:t>E</w:t>
      </w:r>
      <w:r>
        <w:rPr>
          <w:sz w:val="22"/>
          <w:szCs w:val="22"/>
          <w:lang w:val="en-US"/>
        </w:rPr>
        <w:t xml:space="preserve">nhancement on two-step Random Access for NR-U </w:t>
      </w:r>
    </w:p>
    <w:p w14:paraId="15BEDBC3" w14:textId="3B72BC71" w:rsidR="00B04AFE" w:rsidRPr="006114BA" w:rsidRDefault="00B04AFE" w:rsidP="006114BA">
      <w:pPr>
        <w:pStyle w:val="3GPPHeader"/>
        <w:rPr>
          <w:rFonts w:eastAsiaTheme="minorEastAsia"/>
        </w:rPr>
      </w:pPr>
      <w:r w:rsidRPr="00901182">
        <w:rPr>
          <w:sz w:val="22"/>
          <w:szCs w:val="22"/>
          <w:lang w:val="en-US"/>
        </w:rPr>
        <w:t>Document for:</w:t>
      </w:r>
      <w:r w:rsidRPr="00901182">
        <w:rPr>
          <w:sz w:val="22"/>
          <w:szCs w:val="22"/>
          <w:lang w:val="en-US"/>
        </w:rPr>
        <w:tab/>
        <w:t>Discussion, Decision</w:t>
      </w:r>
    </w:p>
    <w:p w14:paraId="56019624" w14:textId="77777777" w:rsidR="00B04AFE" w:rsidRDefault="00B04AFE" w:rsidP="00B04AFE">
      <w:pPr>
        <w:pStyle w:val="1"/>
        <w:rPr>
          <w:lang w:val="en-US"/>
        </w:rPr>
      </w:pPr>
      <w:r w:rsidRPr="00901182">
        <w:rPr>
          <w:lang w:val="en-US"/>
        </w:rPr>
        <w:t>Introduction</w:t>
      </w:r>
    </w:p>
    <w:p w14:paraId="15E9B5CD" w14:textId="77777777" w:rsidR="00B04AFE" w:rsidRPr="004D5566" w:rsidRDefault="00B04AFE" w:rsidP="00B04AFE">
      <w:pPr>
        <w:rPr>
          <w:lang w:val="en-US"/>
        </w:rPr>
      </w:pPr>
      <w:r>
        <w:rPr>
          <w:lang w:eastAsia="x-none"/>
        </w:rPr>
        <w:t xml:space="preserve">In this paper, </w:t>
      </w:r>
      <w:r>
        <w:rPr>
          <w:lang w:val="en-US"/>
        </w:rPr>
        <w:t xml:space="preserve">we discuss some potential issues with the 2-step </w:t>
      </w:r>
      <w:r>
        <w:t xml:space="preserve">random access </w:t>
      </w:r>
      <w:r>
        <w:rPr>
          <w:lang w:val="en-US"/>
        </w:rPr>
        <w:t>procedure for NR-U and provide our consideration.</w:t>
      </w:r>
    </w:p>
    <w:p w14:paraId="41F04154" w14:textId="3BB40B3A" w:rsidR="00B04AFE" w:rsidRDefault="008B1886" w:rsidP="00B04AFE">
      <w:pPr>
        <w:pStyle w:val="1"/>
        <w:rPr>
          <w:lang w:val="en-US"/>
        </w:rPr>
      </w:pPr>
      <w:r>
        <w:rPr>
          <w:lang w:val="en-US"/>
        </w:rPr>
        <w:t>Handling of agreement in four-step RACH</w:t>
      </w:r>
    </w:p>
    <w:p w14:paraId="19A4D67B" w14:textId="77777777" w:rsidR="000516FD" w:rsidRDefault="000516FD" w:rsidP="000516FD">
      <w:r>
        <w:t xml:space="preserve">In NR-U 4-step RACH, we have made many agreement. We want to analysis whether the agreement can hold for 2-step RACH. </w:t>
      </w:r>
    </w:p>
    <w:p w14:paraId="6B8EC5E8" w14:textId="0A3F4BC2" w:rsidR="000516FD" w:rsidRDefault="000516FD" w:rsidP="000516FD">
      <w:r>
        <w:t>The following agreements were made at RAN2</w:t>
      </w:r>
      <w:r w:rsidR="008B1886">
        <w:t>#105bis</w:t>
      </w:r>
      <w:r>
        <w:t>.</w:t>
      </w:r>
    </w:p>
    <w:tbl>
      <w:tblPr>
        <w:tblStyle w:val="af0"/>
        <w:tblW w:w="0" w:type="auto"/>
        <w:tblLook w:val="04A0" w:firstRow="1" w:lastRow="0" w:firstColumn="1" w:lastColumn="0" w:noHBand="0" w:noVBand="1"/>
      </w:tblPr>
      <w:tblGrid>
        <w:gridCol w:w="9629"/>
      </w:tblGrid>
      <w:tr w:rsidR="000516FD" w14:paraId="0565D536" w14:textId="77777777" w:rsidTr="00C43840">
        <w:tc>
          <w:tcPr>
            <w:tcW w:w="10194" w:type="dxa"/>
          </w:tcPr>
          <w:p w14:paraId="1BA6D3B0" w14:textId="77777777" w:rsidR="000516FD" w:rsidRDefault="000516FD" w:rsidP="00C43840">
            <w:pPr>
              <w:pStyle w:val="Comments-red"/>
            </w:pPr>
            <w:r>
              <w:t>RAN2#105bis agreement</w:t>
            </w:r>
          </w:p>
          <w:p w14:paraId="3A7AB522" w14:textId="4A09F03C" w:rsidR="000516FD" w:rsidRPr="006114BA" w:rsidRDefault="000516FD" w:rsidP="008B1886">
            <w:pPr>
              <w:pStyle w:val="Agreement"/>
              <w:numPr>
                <w:ilvl w:val="8"/>
                <w:numId w:val="15"/>
              </w:numPr>
              <w:rPr>
                <w:i/>
              </w:rPr>
            </w:pPr>
            <w:r w:rsidRPr="006114BA">
              <w:rPr>
                <w:i/>
              </w:rPr>
              <w:t>The PREAMBLE_TRANSMISSION_COUNTER is not increased if the preamble is not transmitted due to LBT failure</w:t>
            </w:r>
          </w:p>
          <w:p w14:paraId="7A5211AC" w14:textId="40A45525" w:rsidR="000516FD" w:rsidRPr="001C1AF6" w:rsidRDefault="000516FD" w:rsidP="006114BA">
            <w:pPr>
              <w:pStyle w:val="a8"/>
              <w:numPr>
                <w:ilvl w:val="0"/>
                <w:numId w:val="17"/>
              </w:numPr>
            </w:pPr>
            <w:r>
              <w:rPr>
                <w:lang w:eastAsia="en-GB"/>
              </w:rPr>
              <w:t>considering a preamble transmission counter is also used for two-step RACH, this agreement should hold for two-step RACH</w:t>
            </w:r>
          </w:p>
          <w:p w14:paraId="3EC01E0D" w14:textId="77777777" w:rsidR="000516FD" w:rsidRPr="006114BA" w:rsidRDefault="000516FD" w:rsidP="000516FD">
            <w:pPr>
              <w:pStyle w:val="Agreement"/>
              <w:numPr>
                <w:ilvl w:val="8"/>
                <w:numId w:val="15"/>
              </w:numPr>
              <w:rPr>
                <w:i/>
              </w:rPr>
            </w:pPr>
            <w:r w:rsidRPr="006114BA">
              <w:rPr>
                <w:i/>
              </w:rPr>
              <w:t xml:space="preserve">As earlier agreed, The POWER_RAMPING_COUNTER is not increased if the preamble is not transmitted due to LBT failure. For this purpose LBT failure indication or equiv. (used for other LBT outcome dependencies in MAC) from PHY is used. </w:t>
            </w:r>
          </w:p>
          <w:p w14:paraId="59ED51A4" w14:textId="37D59B40" w:rsidR="000516FD" w:rsidRPr="001C1AF6" w:rsidRDefault="000516FD" w:rsidP="006114BA">
            <w:pPr>
              <w:pStyle w:val="a8"/>
              <w:numPr>
                <w:ilvl w:val="0"/>
                <w:numId w:val="17"/>
              </w:numPr>
            </w:pPr>
            <w:r>
              <w:rPr>
                <w:lang w:eastAsia="en-GB"/>
              </w:rPr>
              <w:t>Considering power ramping counter for two-step RACH is also used for two-step RACH, this agreement should hold for two-step RACH.</w:t>
            </w:r>
          </w:p>
          <w:p w14:paraId="6B4DB63B" w14:textId="77777777" w:rsidR="000516FD" w:rsidRPr="006114BA" w:rsidRDefault="000516FD" w:rsidP="000516FD">
            <w:pPr>
              <w:pStyle w:val="Agreement"/>
              <w:numPr>
                <w:ilvl w:val="8"/>
                <w:numId w:val="15"/>
              </w:numPr>
              <w:rPr>
                <w:i/>
              </w:rPr>
            </w:pPr>
            <w:r w:rsidRPr="006114BA">
              <w:rPr>
                <w:i/>
              </w:rPr>
              <w:t>MAC returns to the resource selection step if LBT fails for Msg1 transmission opportunity(ies)</w:t>
            </w:r>
          </w:p>
          <w:p w14:paraId="750ABFF8" w14:textId="06832405" w:rsidR="000516FD" w:rsidRPr="001C1AF6" w:rsidRDefault="000516FD" w:rsidP="006114BA">
            <w:pPr>
              <w:pStyle w:val="a8"/>
              <w:numPr>
                <w:ilvl w:val="0"/>
                <w:numId w:val="17"/>
              </w:numPr>
            </w:pPr>
            <w:r>
              <w:rPr>
                <w:lang w:eastAsia="en-GB"/>
              </w:rPr>
              <w:t>To decrease the latency on resource selection, the similar handling can be reused, i.e. MAC returns to the resource selection step if LBT fails for preamble transmission opportunity (es). If LBT fails for payload transmission, the network may indicate fallback RAR to UE and it does not need to return to resource selection step.</w:t>
            </w:r>
          </w:p>
          <w:p w14:paraId="1F54E9A6" w14:textId="77777777" w:rsidR="000516FD" w:rsidRPr="006114BA" w:rsidRDefault="000516FD" w:rsidP="000516FD">
            <w:pPr>
              <w:pStyle w:val="Agreement"/>
              <w:numPr>
                <w:ilvl w:val="8"/>
                <w:numId w:val="15"/>
              </w:numPr>
              <w:rPr>
                <w:i/>
              </w:rPr>
            </w:pPr>
            <w:r w:rsidRPr="006114BA">
              <w:rPr>
                <w:i/>
              </w:rPr>
              <w:t>From MAC perspective, multiple msg1 transmissions are not supported (does not preclude beam sweeping enhancement if decided for NR)</w:t>
            </w:r>
          </w:p>
          <w:p w14:paraId="7009766E" w14:textId="2B88029A" w:rsidR="000516FD" w:rsidRPr="001C1AF6" w:rsidRDefault="000516FD" w:rsidP="006114BA">
            <w:pPr>
              <w:pStyle w:val="a8"/>
              <w:numPr>
                <w:ilvl w:val="0"/>
                <w:numId w:val="17"/>
              </w:numPr>
            </w:pPr>
            <w:r>
              <w:rPr>
                <w:lang w:eastAsia="en-GB"/>
              </w:rPr>
              <w:t>This agreement holds for two-step random access. Multiple msgA transmission are not supported in Rel-16.</w:t>
            </w:r>
          </w:p>
          <w:p w14:paraId="179454A8" w14:textId="77777777" w:rsidR="000516FD" w:rsidRPr="006114BA" w:rsidRDefault="000516FD" w:rsidP="000516FD">
            <w:pPr>
              <w:pStyle w:val="Agreement"/>
              <w:numPr>
                <w:ilvl w:val="8"/>
                <w:numId w:val="15"/>
              </w:numPr>
              <w:rPr>
                <w:i/>
              </w:rPr>
            </w:pPr>
            <w:r w:rsidRPr="006114BA">
              <w:rPr>
                <w:i/>
              </w:rPr>
              <w:t>Actual transmission for MSG1 (LBT success) is used for starting RAR window</w:t>
            </w:r>
          </w:p>
          <w:p w14:paraId="1BD88D6A" w14:textId="29B4B617" w:rsidR="000516FD" w:rsidRPr="001C1AF6" w:rsidRDefault="000516FD" w:rsidP="006114BA">
            <w:pPr>
              <w:pStyle w:val="a8"/>
              <w:numPr>
                <w:ilvl w:val="0"/>
                <w:numId w:val="17"/>
              </w:numPr>
            </w:pPr>
            <w:r>
              <w:rPr>
                <w:lang w:eastAsia="en-GB"/>
              </w:rPr>
              <w:t xml:space="preserve">The similar handling can be reused for 2-step RACH, i.e. </w:t>
            </w:r>
            <w:r w:rsidRPr="006114BA">
              <w:rPr>
                <w:highlight w:val="yellow"/>
                <w:lang w:eastAsia="en-GB"/>
              </w:rPr>
              <w:t>actual transmission for preamble is used for starting msgB window</w:t>
            </w:r>
            <w:r>
              <w:rPr>
                <w:lang w:eastAsia="en-GB"/>
              </w:rPr>
              <w:t>.</w:t>
            </w:r>
          </w:p>
          <w:p w14:paraId="30807238" w14:textId="77777777" w:rsidR="000516FD" w:rsidRPr="006114BA" w:rsidRDefault="000516FD" w:rsidP="000516FD">
            <w:pPr>
              <w:pStyle w:val="Agreement"/>
              <w:numPr>
                <w:ilvl w:val="8"/>
                <w:numId w:val="15"/>
              </w:numPr>
              <w:rPr>
                <w:i/>
              </w:rPr>
            </w:pPr>
            <w:r w:rsidRPr="006114BA">
              <w:rPr>
                <w:i/>
              </w:rPr>
              <w:t>R2 assumes the maximum RAR window size is extended to [20] ms</w:t>
            </w:r>
          </w:p>
          <w:p w14:paraId="14BA5717" w14:textId="768C0013" w:rsidR="000516FD" w:rsidRPr="001C1AF6" w:rsidRDefault="000516FD" w:rsidP="006114BA">
            <w:pPr>
              <w:pStyle w:val="a8"/>
              <w:numPr>
                <w:ilvl w:val="0"/>
                <w:numId w:val="17"/>
              </w:numPr>
            </w:pPr>
            <w:r>
              <w:rPr>
                <w:lang w:eastAsia="en-GB"/>
              </w:rPr>
              <w:t>msgB window can be extended to more than 10 ms</w:t>
            </w:r>
          </w:p>
          <w:p w14:paraId="4AAAA93B" w14:textId="77777777" w:rsidR="000516FD" w:rsidRPr="006114BA" w:rsidRDefault="000516FD" w:rsidP="000516FD">
            <w:pPr>
              <w:pStyle w:val="Agreement"/>
              <w:numPr>
                <w:ilvl w:val="8"/>
                <w:numId w:val="15"/>
              </w:numPr>
              <w:rPr>
                <w:i/>
              </w:rPr>
            </w:pPr>
            <w:r w:rsidRPr="006114BA">
              <w:rPr>
                <w:i/>
              </w:rPr>
              <w:t>We ask R1 regarding the support of multiple MSG3 transmission opportunities</w:t>
            </w:r>
          </w:p>
          <w:p w14:paraId="73EBBDE7" w14:textId="753F3B93" w:rsidR="000516FD" w:rsidRPr="001C1AF6" w:rsidRDefault="000516FD" w:rsidP="006114BA">
            <w:pPr>
              <w:pStyle w:val="a8"/>
              <w:numPr>
                <w:ilvl w:val="0"/>
                <w:numId w:val="17"/>
              </w:numPr>
            </w:pPr>
            <w:r>
              <w:rPr>
                <w:lang w:eastAsia="en-GB"/>
              </w:rPr>
              <w:t>This agreement holds for two-step RACH in fallback case.</w:t>
            </w:r>
          </w:p>
          <w:p w14:paraId="102B22F0" w14:textId="77777777" w:rsidR="000516FD" w:rsidRPr="006114BA" w:rsidRDefault="000516FD" w:rsidP="000516FD">
            <w:pPr>
              <w:pStyle w:val="Agreement"/>
              <w:numPr>
                <w:ilvl w:val="8"/>
                <w:numId w:val="15"/>
              </w:numPr>
              <w:rPr>
                <w:i/>
              </w:rPr>
            </w:pPr>
            <w:r w:rsidRPr="006114BA">
              <w:rPr>
                <w:i/>
              </w:rPr>
              <w:t>R2 assumes the range of ra-ContentionResolutionTimer is not extended for NR-U (note this contradicts earlier assumption)</w:t>
            </w:r>
          </w:p>
          <w:p w14:paraId="15DD65E6" w14:textId="5C26A8F0" w:rsidR="000516FD" w:rsidRPr="001C1AF6" w:rsidRDefault="000516FD" w:rsidP="006114BA">
            <w:pPr>
              <w:pStyle w:val="a8"/>
              <w:numPr>
                <w:ilvl w:val="0"/>
                <w:numId w:val="17"/>
              </w:numPr>
            </w:pPr>
            <w:r>
              <w:rPr>
                <w:lang w:eastAsia="en-GB"/>
              </w:rPr>
              <w:t>This agreement holds for two-step RACH in fallback case.</w:t>
            </w:r>
          </w:p>
          <w:p w14:paraId="61E8173E" w14:textId="77777777" w:rsidR="000516FD" w:rsidRPr="006114BA" w:rsidRDefault="000516FD" w:rsidP="000516FD">
            <w:pPr>
              <w:pStyle w:val="Agreement"/>
              <w:numPr>
                <w:ilvl w:val="8"/>
                <w:numId w:val="15"/>
              </w:numPr>
              <w:rPr>
                <w:i/>
              </w:rPr>
            </w:pPr>
            <w:r w:rsidRPr="006114BA">
              <w:rPr>
                <w:i/>
              </w:rPr>
              <w:lastRenderedPageBreak/>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 FFS</w:t>
            </w:r>
          </w:p>
          <w:p w14:paraId="217E4D3D" w14:textId="25F1089D" w:rsidR="000516FD" w:rsidRDefault="000516FD" w:rsidP="006114BA">
            <w:pPr>
              <w:pStyle w:val="a8"/>
              <w:numPr>
                <w:ilvl w:val="0"/>
                <w:numId w:val="17"/>
              </w:numPr>
            </w:pPr>
            <w:r>
              <w:rPr>
                <w:lang w:eastAsia="en-GB"/>
              </w:rPr>
              <w:t>This agreement holds for two-step RACH in fallback case.</w:t>
            </w:r>
          </w:p>
        </w:tc>
      </w:tr>
    </w:tbl>
    <w:p w14:paraId="2EB12700" w14:textId="4BB05200" w:rsidR="000516FD" w:rsidRDefault="000516FD" w:rsidP="000516FD">
      <w:r>
        <w:lastRenderedPageBreak/>
        <w:t>We think the principle</w:t>
      </w:r>
      <w:r w:rsidR="008B1886">
        <w:t>s</w:t>
      </w:r>
      <w:r>
        <w:t xml:space="preserve"> can be reused with some modification</w:t>
      </w:r>
      <w:r w:rsidR="008B1886">
        <w:t>s</w:t>
      </w:r>
      <w:r>
        <w:t>.</w:t>
      </w:r>
    </w:p>
    <w:p w14:paraId="66D9D74C" w14:textId="77777777" w:rsidR="008E7506" w:rsidRPr="00C43840" w:rsidRDefault="008E7506" w:rsidP="008E7506">
      <w:pPr>
        <w:pStyle w:val="Proposal"/>
        <w:numPr>
          <w:ilvl w:val="0"/>
          <w:numId w:val="0"/>
        </w:numPr>
        <w:ind w:left="1304" w:hanging="1304"/>
      </w:pPr>
      <w:r>
        <w:t xml:space="preserve">Proposal 1: </w:t>
      </w:r>
      <w:r w:rsidRPr="00C43840">
        <w:t xml:space="preserve">It </w:t>
      </w:r>
      <w:r>
        <w:t xml:space="preserve">is </w:t>
      </w:r>
      <w:r w:rsidRPr="00C43840">
        <w:t>suggested RAN2 to adopt the following agreement for two-step RACH.</w:t>
      </w:r>
    </w:p>
    <w:p w14:paraId="4E255F1E" w14:textId="77777777" w:rsidR="008E7506" w:rsidRPr="00C43840" w:rsidRDefault="008E7506" w:rsidP="008E7506">
      <w:pPr>
        <w:pStyle w:val="Agreement"/>
        <w:numPr>
          <w:ilvl w:val="0"/>
          <w:numId w:val="22"/>
        </w:numPr>
      </w:pPr>
      <w:r w:rsidRPr="00C43840">
        <w:t>The PREAMBLE_TRANSMISSION_COUNTER is not increased if the preamble is not transmitted due to LBT failure</w:t>
      </w:r>
    </w:p>
    <w:p w14:paraId="0ABED9F1" w14:textId="77777777" w:rsidR="008E7506" w:rsidRPr="00C43840" w:rsidRDefault="008E7506" w:rsidP="008E7506">
      <w:pPr>
        <w:pStyle w:val="Agreement"/>
        <w:numPr>
          <w:ilvl w:val="0"/>
          <w:numId w:val="22"/>
        </w:numPr>
      </w:pPr>
      <w:r w:rsidRPr="00C43840">
        <w:t xml:space="preserve">As earlier agreed, The POWER_RAMPING_COUNTER is not increased if the preamble is not transmitted due to LBT failure. For this purpose LBT failure indication or equiv. (used for other LBT outcome dependencies in MAC) from PHY is used. </w:t>
      </w:r>
    </w:p>
    <w:p w14:paraId="56BBB66F" w14:textId="77777777" w:rsidR="008E7506" w:rsidRPr="00C43840" w:rsidRDefault="008E7506" w:rsidP="008E7506">
      <w:pPr>
        <w:pStyle w:val="Agreement"/>
        <w:numPr>
          <w:ilvl w:val="0"/>
          <w:numId w:val="22"/>
        </w:numPr>
      </w:pPr>
      <w:r w:rsidRPr="00C43840">
        <w:t xml:space="preserve">MAC returns to the resource selection step if LBT fails for </w:t>
      </w:r>
      <w:r>
        <w:t>2-step preamble</w:t>
      </w:r>
      <w:r w:rsidRPr="00C43840">
        <w:t xml:space="preserve"> transmission opportunity(ies)</w:t>
      </w:r>
    </w:p>
    <w:p w14:paraId="7A52AFE4" w14:textId="77777777" w:rsidR="008E7506" w:rsidRPr="00C43840" w:rsidRDefault="008E7506" w:rsidP="008E7506">
      <w:pPr>
        <w:pStyle w:val="Agreement"/>
        <w:numPr>
          <w:ilvl w:val="0"/>
          <w:numId w:val="22"/>
        </w:numPr>
      </w:pPr>
      <w:r w:rsidRPr="00C43840">
        <w:t>From MAC perspective, multiple msgA transmissions are not supported (does not preclude beam sweeping enhancement if decided for NR)</w:t>
      </w:r>
    </w:p>
    <w:p w14:paraId="5132A96D" w14:textId="77777777" w:rsidR="008E7506" w:rsidRPr="00C43840" w:rsidRDefault="008E7506" w:rsidP="008E7506">
      <w:pPr>
        <w:pStyle w:val="Agreement"/>
        <w:numPr>
          <w:ilvl w:val="0"/>
          <w:numId w:val="22"/>
        </w:numPr>
      </w:pPr>
      <w:r w:rsidRPr="00C43840">
        <w:t xml:space="preserve">Actual transmission for </w:t>
      </w:r>
      <w:r>
        <w:t>2-step preamble</w:t>
      </w:r>
      <w:r w:rsidRPr="00C43840">
        <w:t xml:space="preserve"> (LBT success) is used for starting </w:t>
      </w:r>
      <w:r>
        <w:t>msgB</w:t>
      </w:r>
      <w:r w:rsidRPr="008B1886">
        <w:t xml:space="preserve"> </w:t>
      </w:r>
      <w:r w:rsidRPr="00C43840">
        <w:t>window</w:t>
      </w:r>
    </w:p>
    <w:p w14:paraId="1F9A8E25" w14:textId="77777777" w:rsidR="008E7506" w:rsidRPr="00C43840" w:rsidRDefault="008E7506" w:rsidP="008E7506">
      <w:pPr>
        <w:pStyle w:val="Agreement"/>
        <w:numPr>
          <w:ilvl w:val="0"/>
          <w:numId w:val="22"/>
        </w:numPr>
      </w:pPr>
      <w:r w:rsidRPr="00C43840">
        <w:t xml:space="preserve">R2 assumes the maximum </w:t>
      </w:r>
      <w:r>
        <w:t>msgB</w:t>
      </w:r>
      <w:r w:rsidRPr="00C43840">
        <w:t xml:space="preserve"> window size is extended to [20] ms</w:t>
      </w:r>
    </w:p>
    <w:p w14:paraId="074BE93A" w14:textId="77777777" w:rsidR="008E7506" w:rsidRPr="00C43840" w:rsidRDefault="008E7506" w:rsidP="008E7506">
      <w:pPr>
        <w:pStyle w:val="Agreement"/>
        <w:numPr>
          <w:ilvl w:val="0"/>
          <w:numId w:val="22"/>
        </w:numPr>
      </w:pPr>
      <w:r w:rsidRPr="00C43840">
        <w:t>We ask R1 regarding the support of multiple MSG3 transmission opportunities</w:t>
      </w:r>
      <w:r>
        <w:t xml:space="preserve"> in case of fallback</w:t>
      </w:r>
    </w:p>
    <w:p w14:paraId="63974842" w14:textId="77777777" w:rsidR="008E7506" w:rsidRDefault="008E7506" w:rsidP="006114BA">
      <w:pPr>
        <w:pStyle w:val="Agreement"/>
        <w:numPr>
          <w:ilvl w:val="0"/>
          <w:numId w:val="22"/>
        </w:numPr>
      </w:pPr>
      <w:r w:rsidRPr="00C43840">
        <w:t>R2 assumes the range of ra-ContentionResolutionTimer is not extended for NR-U (note this contradicts earlier assumption)</w:t>
      </w:r>
      <w:r>
        <w:t xml:space="preserve"> in case of fallback</w:t>
      </w:r>
    </w:p>
    <w:p w14:paraId="4EE133CA" w14:textId="3DBBE8E3" w:rsidR="008E7506" w:rsidRDefault="008E7506" w:rsidP="006114BA">
      <w:pPr>
        <w:pStyle w:val="Agreement"/>
        <w:numPr>
          <w:ilvl w:val="0"/>
          <w:numId w:val="22"/>
        </w:numPr>
      </w:pPr>
      <w:r w:rsidRPr="00C43840">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w:t>
      </w:r>
      <w:r>
        <w:t xml:space="preserve"> in case of fallback</w:t>
      </w:r>
      <w:r w:rsidRPr="00C43840">
        <w:t>.</w:t>
      </w:r>
    </w:p>
    <w:p w14:paraId="38A08D5D" w14:textId="7196E497" w:rsidR="008B1886" w:rsidRDefault="008B1886" w:rsidP="008B1886">
      <w:r>
        <w:t>The following agreements were made at RAN2#</w:t>
      </w:r>
      <w:r w:rsidR="004A6EE9">
        <w:t>10</w:t>
      </w:r>
      <w:r>
        <w:t>7.</w:t>
      </w:r>
    </w:p>
    <w:tbl>
      <w:tblPr>
        <w:tblStyle w:val="af0"/>
        <w:tblW w:w="0" w:type="auto"/>
        <w:tblLook w:val="04A0" w:firstRow="1" w:lastRow="0" w:firstColumn="1" w:lastColumn="0" w:noHBand="0" w:noVBand="1"/>
      </w:tblPr>
      <w:tblGrid>
        <w:gridCol w:w="9629"/>
      </w:tblGrid>
      <w:tr w:rsidR="000516FD" w14:paraId="05E8CC17" w14:textId="77777777" w:rsidTr="006114BA">
        <w:tc>
          <w:tcPr>
            <w:tcW w:w="9629" w:type="dxa"/>
          </w:tcPr>
          <w:p w14:paraId="5FB1C327" w14:textId="18D89A15" w:rsidR="000516FD" w:rsidRPr="006114BA" w:rsidRDefault="000516FD" w:rsidP="006114BA">
            <w:pPr>
              <w:pStyle w:val="Comments-red"/>
            </w:pPr>
            <w:r>
              <w:t>RAN2#107 agreement</w:t>
            </w:r>
          </w:p>
          <w:p w14:paraId="41988A48" w14:textId="77777777" w:rsidR="000516FD" w:rsidRDefault="000516FD" w:rsidP="00C43840">
            <w:pPr>
              <w:pStyle w:val="Agreement"/>
            </w:pPr>
            <w:r>
              <w:t xml:space="preserve">Will support extension of RAR window without modifying RA-RNTI. </w:t>
            </w:r>
          </w:p>
          <w:p w14:paraId="08E9A197" w14:textId="489BE52E" w:rsidR="000516FD" w:rsidRPr="006114BA" w:rsidRDefault="000516FD" w:rsidP="006114BA">
            <w:pPr>
              <w:pStyle w:val="Agreement"/>
              <w:rPr>
                <w:rFonts w:eastAsiaTheme="minorEastAsia"/>
              </w:rPr>
            </w:pPr>
            <w:r>
              <w:t>Include LSBs of SFN in MSG2</w:t>
            </w:r>
          </w:p>
        </w:tc>
      </w:tr>
    </w:tbl>
    <w:p w14:paraId="06662473" w14:textId="77777777" w:rsidR="00ED7528" w:rsidRDefault="00ED7528" w:rsidP="006114BA"/>
    <w:p w14:paraId="2C92CCC1" w14:textId="224E9E6E" w:rsidR="00B04AFE" w:rsidRDefault="00B04AFE" w:rsidP="006114BA">
      <w:pPr>
        <w:rPr>
          <w:lang w:val="en-US"/>
        </w:rPr>
      </w:pPr>
      <w:r w:rsidRPr="00B04AFE">
        <w:rPr>
          <w:lang w:val="en-US"/>
        </w:rPr>
        <w:t xml:space="preserve">In </w:t>
      </w:r>
      <w:r>
        <w:rPr>
          <w:lang w:val="en-US"/>
        </w:rPr>
        <w:t>addition, to mitigate the impact of LBT, it is beneficial</w:t>
      </w:r>
      <w:r w:rsidR="00A0560D">
        <w:rPr>
          <w:lang w:val="en-US"/>
        </w:rPr>
        <w:t xml:space="preserve"> for 2-step RACH procedure to extend the msgB</w:t>
      </w:r>
      <w:r>
        <w:rPr>
          <w:lang w:val="en-US"/>
        </w:rPr>
        <w:t xml:space="preserve"> window</w:t>
      </w:r>
      <w:r w:rsidR="00A0560D">
        <w:rPr>
          <w:lang w:val="en-US"/>
        </w:rPr>
        <w:t>, similar to 4-step RACH</w:t>
      </w:r>
      <w:r w:rsidR="00D277AC">
        <w:rPr>
          <w:lang w:val="en-US"/>
        </w:rPr>
        <w:t xml:space="preserve">. In NR-U 4-step RACH, network </w:t>
      </w:r>
      <w:r>
        <w:rPr>
          <w:lang w:val="en-US"/>
        </w:rPr>
        <w:t>can transmit the RAR</w:t>
      </w:r>
      <w:r w:rsidR="00D277AC">
        <w:rPr>
          <w:lang w:val="en-US"/>
        </w:rPr>
        <w:t xml:space="preserve"> to the UE</w:t>
      </w:r>
      <w:r>
        <w:rPr>
          <w:lang w:val="en-US"/>
        </w:rPr>
        <w:t xml:space="preserve"> across SFNs. However</w:t>
      </w:r>
      <w:r w:rsidR="0064417C">
        <w:rPr>
          <w:lang w:val="en-US"/>
        </w:rPr>
        <w:t>, for</w:t>
      </w:r>
      <w:r>
        <w:rPr>
          <w:lang w:val="en-US"/>
        </w:rPr>
        <w:t xml:space="preserve"> the UE</w:t>
      </w:r>
      <w:r w:rsidR="0064417C">
        <w:rPr>
          <w:lang w:val="en-US"/>
        </w:rPr>
        <w:t xml:space="preserve">, it cannot know </w:t>
      </w:r>
      <w:r>
        <w:rPr>
          <w:lang w:val="en-US"/>
        </w:rPr>
        <w:t>whether the received RAR is transmitted for itself</w:t>
      </w:r>
      <w:r w:rsidR="0064417C">
        <w:rPr>
          <w:lang w:val="en-US"/>
        </w:rPr>
        <w:t xml:space="preserve"> or another UE</w:t>
      </w:r>
      <w:r>
        <w:rPr>
          <w:lang w:val="en-US"/>
        </w:rPr>
        <w:t xml:space="preserve">. Therefore RAN2 agreed the LSBs of SFN can be included in Msg2 MAC PDU. </w:t>
      </w:r>
      <w:r w:rsidR="008B1886">
        <w:rPr>
          <w:lang w:val="en-US"/>
        </w:rPr>
        <w:t xml:space="preserve">In 2-step RACH, the msgB window should be extended to more than 10 ms to relieve the LBT impact as four-step random access. </w:t>
      </w:r>
      <w:r>
        <w:rPr>
          <w:lang w:val="en-US"/>
        </w:rPr>
        <w:t>The question comes whether LSBs of SFN will be included in the MsgB MAC PDU or not. We believe it is also needed only for UEs with fallback RAR. For UEs with successRAR, the contention resolution ID is used to identify the UEs and no need to check SFN.</w:t>
      </w:r>
    </w:p>
    <w:p w14:paraId="4EFF28CD" w14:textId="095809BE" w:rsidR="008B1886" w:rsidRPr="006114BA" w:rsidRDefault="00CA4610" w:rsidP="006114BA">
      <w:pPr>
        <w:pStyle w:val="Proposal"/>
        <w:numPr>
          <w:ilvl w:val="0"/>
          <w:numId w:val="0"/>
        </w:numPr>
        <w:ind w:left="1304" w:hanging="1304"/>
        <w:rPr>
          <w:rFonts w:eastAsiaTheme="minorEastAsia"/>
          <w:lang w:val="en-US"/>
        </w:rPr>
      </w:pPr>
      <w:r>
        <w:t xml:space="preserve">Proposal 2: </w:t>
      </w:r>
      <w:r>
        <w:rPr>
          <w:lang w:val="en-US"/>
        </w:rPr>
        <w:t>LSBs of SFN can be included in msgB MAC PDU only for the UEs with fallback RAR.</w:t>
      </w:r>
    </w:p>
    <w:p w14:paraId="7F254C99" w14:textId="117A6849" w:rsidR="008B1886" w:rsidRPr="006114BA" w:rsidRDefault="008B1886" w:rsidP="006114BA">
      <w:pPr>
        <w:pStyle w:val="1"/>
        <w:rPr>
          <w:rFonts w:eastAsiaTheme="minorEastAsia"/>
        </w:rPr>
      </w:pPr>
      <w:r>
        <w:t>2-step RACH enhancement</w:t>
      </w:r>
    </w:p>
    <w:p w14:paraId="54F89519" w14:textId="77777777" w:rsidR="008B1886" w:rsidRDefault="008B1886" w:rsidP="008B1886">
      <w:r>
        <w:t xml:space="preserve">In the 2-step random access (RA) procedure, the RACH messages in time order are msgA and msgB. </w:t>
      </w:r>
      <w:r w:rsidRPr="00C64ECB">
        <w:t>The msgA is a signal</w:t>
      </w:r>
      <w:r>
        <w:t xml:space="preserve"> (i.e. preamble)</w:t>
      </w:r>
      <w:r w:rsidRPr="00C64ECB">
        <w:t xml:space="preserve"> to detect the UE and a payload while the second message is for contention resolution for CBRA with a possible payload. msgA will at least include the equivalent information which is transmitted in msg3 for 4-step RACH. </w:t>
      </w:r>
    </w:p>
    <w:p w14:paraId="3AF390BE" w14:textId="1FFF7D15" w:rsidR="00CA4610" w:rsidRPr="00BD74BF" w:rsidRDefault="008B1886" w:rsidP="006114BA">
      <w:pPr>
        <w:pStyle w:val="Proposal"/>
        <w:numPr>
          <w:ilvl w:val="0"/>
          <w:numId w:val="0"/>
        </w:numPr>
        <w:spacing w:beforeLines="50" w:before="120" w:after="0"/>
        <w:rPr>
          <w:lang w:val="en-US"/>
        </w:rPr>
      </w:pPr>
      <w:r w:rsidRPr="006114BA">
        <w:rPr>
          <w:b w:val="0"/>
        </w:rPr>
        <w:t>In NR-U, LBT is performed before transmission. During SI stage [1], in order to alleviate the impact of LBT failures, it was agreed “</w:t>
      </w:r>
      <w:r w:rsidRPr="006114BA">
        <w:rPr>
          <w:b w:val="0"/>
          <w:i/>
        </w:rPr>
        <w:t>additional opportunities for the RACH messages may be introduced, e.g. in time or frequency domain, for both 4-step and 2-step RACH</w:t>
      </w:r>
      <w:r w:rsidRPr="006114BA">
        <w:rPr>
          <w:b w:val="0"/>
        </w:rPr>
        <w:t>”. The additional opportunities for 2-step RACH can be applicable to both preamble and msgA payload.</w:t>
      </w:r>
      <w:r w:rsidR="00CA4610">
        <w:rPr>
          <w:b w:val="0"/>
          <w:bCs w:val="0"/>
        </w:rPr>
        <w:fldChar w:fldCharType="begin"/>
      </w:r>
      <w:r w:rsidR="00CA4610" w:rsidRPr="00BD74BF">
        <w:rPr>
          <w:b w:val="0"/>
        </w:rPr>
        <w:instrText xml:space="preserve"> TOC \n \p " " \t "Proposal;1" </w:instrText>
      </w:r>
      <w:r w:rsidR="00CA4610">
        <w:rPr>
          <w:b w:val="0"/>
          <w:bCs w:val="0"/>
        </w:rPr>
        <w:fldChar w:fldCharType="separate"/>
      </w:r>
    </w:p>
    <w:p w14:paraId="2590B16E" w14:textId="0271F323" w:rsidR="00CA4610" w:rsidRPr="006114BA" w:rsidRDefault="00CA4610" w:rsidP="006114BA">
      <w:pPr>
        <w:spacing w:beforeLines="50" w:before="120" w:after="0"/>
        <w:rPr>
          <w:rFonts w:eastAsiaTheme="minorEastAsia"/>
          <w:b/>
          <w:bCs/>
          <w:noProof/>
          <w:szCs w:val="22"/>
          <w:lang w:val="en-US"/>
        </w:rPr>
      </w:pPr>
      <w:r>
        <w:rPr>
          <w:b/>
          <w:bCs/>
          <w:noProof/>
          <w:szCs w:val="22"/>
          <w:lang w:val="en-US"/>
        </w:rPr>
        <w:fldChar w:fldCharType="end"/>
      </w:r>
      <w:r>
        <w:rPr>
          <w:b/>
          <w:bCs/>
          <w:noProof/>
          <w:szCs w:val="22"/>
          <w:lang w:val="en-US"/>
        </w:rPr>
        <w:t xml:space="preserve">Proposal 3: </w:t>
      </w:r>
      <w:r w:rsidRPr="0005625D">
        <w:t xml:space="preserve"> </w:t>
      </w:r>
      <w:r w:rsidRPr="0005625D">
        <w:rPr>
          <w:b/>
          <w:bCs/>
          <w:noProof/>
          <w:szCs w:val="22"/>
          <w:lang w:val="en-US"/>
        </w:rPr>
        <w:t>It is beneficial that multiple opportunities in time or frequency domain is supported for both preamble and MsgA payload transmission.</w:t>
      </w:r>
    </w:p>
    <w:p w14:paraId="75E816EC" w14:textId="77777777" w:rsidR="008B1886" w:rsidRDefault="008B1886" w:rsidP="008B1886">
      <w:pPr>
        <w:rPr>
          <w:lang w:val="en-US"/>
        </w:rPr>
      </w:pPr>
      <w:r>
        <w:rPr>
          <w:lang w:val="en-US"/>
        </w:rPr>
        <w:lastRenderedPageBreak/>
        <w:t>However it did not discuss where the multiple opportunities in frequency domain is? Two options are available.</w:t>
      </w:r>
    </w:p>
    <w:p w14:paraId="63C453EB" w14:textId="77777777" w:rsidR="008B1886" w:rsidRPr="00526AB4" w:rsidRDefault="008B1886" w:rsidP="008B1886">
      <w:pPr>
        <w:pStyle w:val="a8"/>
        <w:numPr>
          <w:ilvl w:val="0"/>
          <w:numId w:val="13"/>
        </w:numPr>
        <w:rPr>
          <w:lang w:val="en-US"/>
        </w:rPr>
      </w:pPr>
      <w:r w:rsidRPr="00526AB4">
        <w:rPr>
          <w:lang w:val="en-US"/>
        </w:rPr>
        <w:t>Option 1: the opportunities are allocated in one serving cell while different LBT subband</w:t>
      </w:r>
      <w:r>
        <w:rPr>
          <w:lang w:val="en-US"/>
        </w:rPr>
        <w:t>s</w:t>
      </w:r>
      <w:r w:rsidRPr="00526AB4">
        <w:rPr>
          <w:lang w:val="en-US"/>
        </w:rPr>
        <w:t>. Here we assume only one active BWP is used.</w:t>
      </w:r>
      <w:r>
        <w:rPr>
          <w:lang w:val="en-US"/>
        </w:rPr>
        <w:t xml:space="preserve"> The LBT subbands belong to the active BWP. The UE can perform multiple LBTs on these subband and msgA can be transmitted when any one LBT is successful.</w:t>
      </w:r>
    </w:p>
    <w:p w14:paraId="7DD445B2" w14:textId="77777777" w:rsidR="008B1886" w:rsidRPr="00526AB4" w:rsidRDefault="008B1886" w:rsidP="008B1886">
      <w:pPr>
        <w:pStyle w:val="a8"/>
        <w:numPr>
          <w:ilvl w:val="0"/>
          <w:numId w:val="13"/>
        </w:numPr>
        <w:rPr>
          <w:lang w:val="en-US"/>
        </w:rPr>
      </w:pPr>
      <w:r w:rsidRPr="00526AB4">
        <w:rPr>
          <w:lang w:val="en-US"/>
        </w:rPr>
        <w:t>Option 2: the opportunities are allocated in multiple serving cells</w:t>
      </w:r>
      <w:r>
        <w:rPr>
          <w:lang w:val="en-US"/>
        </w:rPr>
        <w:t xml:space="preserve"> when CA is configured.</w:t>
      </w:r>
      <w:r w:rsidRPr="00526AB4">
        <w:rPr>
          <w:lang w:val="en-US"/>
        </w:rPr>
        <w:t xml:space="preserve"> </w:t>
      </w:r>
      <w:r>
        <w:rPr>
          <w:lang w:val="en-US"/>
        </w:rPr>
        <w:t xml:space="preserve">The UE can perform multiple LBTs on these </w:t>
      </w:r>
      <w:r w:rsidRPr="00A54577">
        <w:rPr>
          <w:lang w:val="en-US"/>
        </w:rPr>
        <w:t>serving cells</w:t>
      </w:r>
      <w:r>
        <w:rPr>
          <w:lang w:val="en-US"/>
        </w:rPr>
        <w:t xml:space="preserve"> belonging to the same TAG and msgA can be transmitted when any one LBT is successful.</w:t>
      </w:r>
    </w:p>
    <w:p w14:paraId="5382AA02" w14:textId="77777777" w:rsidR="008B1886" w:rsidRDefault="008B1886" w:rsidP="008B1886">
      <w:pPr>
        <w:rPr>
          <w:lang w:val="en-US"/>
        </w:rPr>
      </w:pPr>
      <w:r>
        <w:rPr>
          <w:lang w:val="en-US"/>
        </w:rPr>
        <w:t>We believe both option 1 and option 2 can alleviate the impact of LBT failure.</w:t>
      </w:r>
    </w:p>
    <w:p w14:paraId="0D632B31" w14:textId="77777777" w:rsidR="00B553DD" w:rsidRPr="00BD74BF" w:rsidRDefault="00B553DD" w:rsidP="00B553DD">
      <w:pPr>
        <w:spacing w:beforeLines="50" w:before="120" w:after="0"/>
        <w:rPr>
          <w:rFonts w:eastAsiaTheme="minorEastAsia"/>
          <w:b/>
          <w:bCs/>
          <w:noProof/>
          <w:szCs w:val="22"/>
          <w:lang w:val="en-US"/>
        </w:rPr>
      </w:pPr>
      <w:r>
        <w:rPr>
          <w:b/>
          <w:bCs/>
          <w:noProof/>
          <w:szCs w:val="22"/>
          <w:lang w:val="en-US"/>
        </w:rPr>
        <w:t xml:space="preserve">Proposal 4: </w:t>
      </w:r>
      <w:r w:rsidRPr="0005625D">
        <w:rPr>
          <w:b/>
          <w:bCs/>
          <w:noProof/>
          <w:szCs w:val="22"/>
          <w:lang w:val="en-US"/>
        </w:rPr>
        <w:t>It is beneficial that multiple opportunities in frequency domain allocated in different LBT subband or serving cell is supported for both preamble and MsgA payload transmission.</w:t>
      </w:r>
    </w:p>
    <w:p w14:paraId="2DCD2E3E" w14:textId="77777777" w:rsidR="008B1886" w:rsidRPr="006114BA" w:rsidRDefault="008B1886" w:rsidP="006114BA">
      <w:pPr>
        <w:pStyle w:val="Proposal"/>
        <w:numPr>
          <w:ilvl w:val="0"/>
          <w:numId w:val="0"/>
        </w:numPr>
        <w:ind w:left="1304" w:hanging="1304"/>
        <w:rPr>
          <w:rFonts w:eastAsiaTheme="minorEastAsia"/>
          <w:lang w:val="en-US"/>
        </w:rPr>
      </w:pPr>
    </w:p>
    <w:p w14:paraId="632B237F" w14:textId="4179E75D" w:rsidR="00B04AFE" w:rsidRPr="006114BA" w:rsidRDefault="00B04AFE" w:rsidP="006114BA">
      <w:pPr>
        <w:pStyle w:val="1"/>
        <w:rPr>
          <w:rFonts w:eastAsiaTheme="minorEastAsia"/>
          <w:b/>
          <w:bCs/>
          <w:highlight w:val="yellow"/>
        </w:rPr>
      </w:pPr>
      <w:r w:rsidRPr="00901182">
        <w:rPr>
          <w:lang w:val="en-US"/>
        </w:rPr>
        <w:t>Conclusion</w:t>
      </w:r>
    </w:p>
    <w:p w14:paraId="45F98D51" w14:textId="7CADBCCA" w:rsidR="008B1886" w:rsidRDefault="00B04AFE" w:rsidP="006114BA">
      <w:r>
        <w:t>Based on the discussion we propose the following:</w:t>
      </w:r>
    </w:p>
    <w:p w14:paraId="7141B2C8" w14:textId="340840D6" w:rsidR="008B1886" w:rsidRPr="00C43840" w:rsidRDefault="001923AB" w:rsidP="006114BA">
      <w:pPr>
        <w:pStyle w:val="Proposal"/>
        <w:numPr>
          <w:ilvl w:val="0"/>
          <w:numId w:val="0"/>
        </w:numPr>
        <w:ind w:left="1304" w:hanging="1304"/>
      </w:pPr>
      <w:r>
        <w:t xml:space="preserve">Proposal 1: </w:t>
      </w:r>
      <w:r w:rsidR="008B1886" w:rsidRPr="00C43840">
        <w:t xml:space="preserve">It </w:t>
      </w:r>
      <w:r w:rsidR="008B1886">
        <w:t xml:space="preserve">is </w:t>
      </w:r>
      <w:r w:rsidR="008B1886" w:rsidRPr="00C43840">
        <w:t>suggested RAN2 to adopt the following agreement for two-step RACH.</w:t>
      </w:r>
    </w:p>
    <w:p w14:paraId="00749C0B" w14:textId="77777777" w:rsidR="008B1886" w:rsidRPr="00C43840" w:rsidRDefault="008B1886" w:rsidP="006114BA">
      <w:pPr>
        <w:pStyle w:val="Agreement"/>
        <w:numPr>
          <w:ilvl w:val="0"/>
          <w:numId w:val="22"/>
        </w:numPr>
      </w:pPr>
      <w:r w:rsidRPr="00C43840">
        <w:t>The PREAMBLE_TRANSMISSION_COUNTER is not increased if the preamble is not transmitted due to LBT failure</w:t>
      </w:r>
    </w:p>
    <w:p w14:paraId="14930F5E" w14:textId="77777777" w:rsidR="008B1886" w:rsidRPr="00C43840" w:rsidRDefault="008B1886" w:rsidP="006114BA">
      <w:pPr>
        <w:pStyle w:val="Agreement"/>
        <w:numPr>
          <w:ilvl w:val="0"/>
          <w:numId w:val="22"/>
        </w:numPr>
      </w:pPr>
      <w:r w:rsidRPr="00C43840">
        <w:t xml:space="preserve">As earlier agreed, The POWER_RAMPING_COUNTER is not increased if the preamble is not transmitted due to LBT failure. For this purpose LBT failure indication or equiv. (used for other LBT outcome dependencies in MAC) from PHY is used. </w:t>
      </w:r>
    </w:p>
    <w:p w14:paraId="68C1338F" w14:textId="77777777" w:rsidR="008B1886" w:rsidRPr="00C43840" w:rsidRDefault="008B1886" w:rsidP="006114BA">
      <w:pPr>
        <w:pStyle w:val="Agreement"/>
        <w:numPr>
          <w:ilvl w:val="0"/>
          <w:numId w:val="22"/>
        </w:numPr>
      </w:pPr>
      <w:r w:rsidRPr="00C43840">
        <w:t xml:space="preserve">MAC returns to the resource selection step if LBT fails for </w:t>
      </w:r>
      <w:r>
        <w:t>2-step preamble</w:t>
      </w:r>
      <w:r w:rsidRPr="00C43840">
        <w:t xml:space="preserve"> transmission opportunity(ies)</w:t>
      </w:r>
    </w:p>
    <w:p w14:paraId="56E3D2F2" w14:textId="77777777" w:rsidR="008B1886" w:rsidRPr="00C43840" w:rsidRDefault="008B1886" w:rsidP="006114BA">
      <w:pPr>
        <w:pStyle w:val="Agreement"/>
        <w:numPr>
          <w:ilvl w:val="0"/>
          <w:numId w:val="22"/>
        </w:numPr>
      </w:pPr>
      <w:r w:rsidRPr="00C43840">
        <w:t>From MAC perspective, multiple msgA transmissions are not supported (does not preclude beam sweeping enhancement if decided for NR)</w:t>
      </w:r>
    </w:p>
    <w:p w14:paraId="7D2075E9" w14:textId="30D6217E" w:rsidR="008B1886" w:rsidRPr="00C43840" w:rsidRDefault="008B1886" w:rsidP="006114BA">
      <w:pPr>
        <w:pStyle w:val="Agreement"/>
        <w:numPr>
          <w:ilvl w:val="0"/>
          <w:numId w:val="22"/>
        </w:numPr>
      </w:pPr>
      <w:r w:rsidRPr="00C43840">
        <w:t xml:space="preserve">Actual transmission for </w:t>
      </w:r>
      <w:r>
        <w:t>2-step preamble</w:t>
      </w:r>
      <w:r w:rsidRPr="00C43840">
        <w:t xml:space="preserve"> (LBT success) is used for starting </w:t>
      </w:r>
      <w:r>
        <w:t>msgB</w:t>
      </w:r>
      <w:r w:rsidRPr="008B1886">
        <w:t xml:space="preserve"> </w:t>
      </w:r>
      <w:r w:rsidRPr="00C43840">
        <w:t>window</w:t>
      </w:r>
    </w:p>
    <w:p w14:paraId="61587057" w14:textId="77777777" w:rsidR="008B1886" w:rsidRPr="00C43840" w:rsidRDefault="008B1886" w:rsidP="006114BA">
      <w:pPr>
        <w:pStyle w:val="Agreement"/>
        <w:numPr>
          <w:ilvl w:val="0"/>
          <w:numId w:val="22"/>
        </w:numPr>
      </w:pPr>
      <w:r w:rsidRPr="00C43840">
        <w:t xml:space="preserve">R2 assumes the maximum </w:t>
      </w:r>
      <w:r>
        <w:t>msgB</w:t>
      </w:r>
      <w:r w:rsidRPr="00C43840">
        <w:t xml:space="preserve"> window size is extended to [20] ms</w:t>
      </w:r>
    </w:p>
    <w:p w14:paraId="18DAADD2" w14:textId="77777777" w:rsidR="008B1886" w:rsidRPr="00C43840" w:rsidRDefault="008B1886" w:rsidP="006114BA">
      <w:pPr>
        <w:pStyle w:val="Agreement"/>
        <w:numPr>
          <w:ilvl w:val="0"/>
          <w:numId w:val="22"/>
        </w:numPr>
      </w:pPr>
      <w:r w:rsidRPr="00C43840">
        <w:t>We ask R1 regarding the support of multiple MSG3 transmission opportunities</w:t>
      </w:r>
      <w:r>
        <w:t xml:space="preserve"> in case of fallback</w:t>
      </w:r>
    </w:p>
    <w:p w14:paraId="184B2091" w14:textId="77777777" w:rsidR="008B1886" w:rsidRPr="00C43840" w:rsidRDefault="008B1886" w:rsidP="006114BA">
      <w:pPr>
        <w:pStyle w:val="Agreement"/>
        <w:numPr>
          <w:ilvl w:val="0"/>
          <w:numId w:val="22"/>
        </w:numPr>
      </w:pPr>
      <w:r w:rsidRPr="00C43840">
        <w:t>R2 assumes the range of ra-ContentionResolutionTimer is not extended for NR-U (note this contradicts earlier assumption)</w:t>
      </w:r>
      <w:r>
        <w:t xml:space="preserve"> in case of fallback</w:t>
      </w:r>
    </w:p>
    <w:p w14:paraId="3AA4020E" w14:textId="4FEC94A8" w:rsidR="008B1886" w:rsidRPr="006114BA" w:rsidRDefault="008B1886" w:rsidP="006114BA">
      <w:pPr>
        <w:pStyle w:val="Agreement"/>
        <w:numPr>
          <w:ilvl w:val="0"/>
          <w:numId w:val="22"/>
        </w:numPr>
      </w:pPr>
      <w:r w:rsidRPr="00C43840">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w:t>
      </w:r>
      <w:r>
        <w:t xml:space="preserve"> in case of fallback</w:t>
      </w:r>
      <w:r w:rsidRPr="00C43840">
        <w:t xml:space="preserve">. </w:t>
      </w:r>
    </w:p>
    <w:p w14:paraId="0885AB16" w14:textId="420FC8B3" w:rsidR="00B04AFE" w:rsidRPr="006114BA" w:rsidRDefault="00084147" w:rsidP="006114BA">
      <w:pPr>
        <w:pStyle w:val="Proposal"/>
        <w:numPr>
          <w:ilvl w:val="0"/>
          <w:numId w:val="0"/>
        </w:numPr>
        <w:spacing w:beforeLines="50" w:before="120" w:after="0"/>
        <w:ind w:left="1304" w:hanging="1304"/>
        <w:rPr>
          <w:lang w:val="en-US"/>
        </w:rPr>
      </w:pPr>
      <w:r>
        <w:t xml:space="preserve">Proposal 2: </w:t>
      </w:r>
      <w:r w:rsidR="008B1886">
        <w:rPr>
          <w:lang w:val="en-US"/>
        </w:rPr>
        <w:t>LSBs of SFN can be included in msgB MAC PDU only for the UEs with fallback RAR.</w:t>
      </w:r>
      <w:r w:rsidR="00B04AFE">
        <w:rPr>
          <w:b w:val="0"/>
          <w:bCs w:val="0"/>
        </w:rPr>
        <w:fldChar w:fldCharType="begin"/>
      </w:r>
      <w:r w:rsidR="00B04AFE" w:rsidRPr="006114BA">
        <w:rPr>
          <w:b w:val="0"/>
        </w:rPr>
        <w:instrText xml:space="preserve"> TOC \n \p " " \t "Proposal;1" </w:instrText>
      </w:r>
      <w:r w:rsidR="00B04AFE">
        <w:rPr>
          <w:b w:val="0"/>
          <w:bCs w:val="0"/>
        </w:rPr>
        <w:fldChar w:fldCharType="separate"/>
      </w:r>
    </w:p>
    <w:p w14:paraId="49C06904" w14:textId="214B54A6" w:rsidR="0005625D" w:rsidRPr="0005625D" w:rsidRDefault="00B04AFE" w:rsidP="006114BA">
      <w:pPr>
        <w:spacing w:beforeLines="50" w:before="120" w:after="0"/>
        <w:rPr>
          <w:b/>
          <w:bCs/>
          <w:noProof/>
          <w:szCs w:val="22"/>
          <w:lang w:val="en-US"/>
        </w:rPr>
      </w:pPr>
      <w:r>
        <w:rPr>
          <w:b/>
          <w:bCs/>
          <w:noProof/>
          <w:szCs w:val="22"/>
          <w:lang w:val="en-US"/>
        </w:rPr>
        <w:fldChar w:fldCharType="end"/>
      </w:r>
      <w:r w:rsidR="0005625D">
        <w:rPr>
          <w:b/>
          <w:bCs/>
          <w:noProof/>
          <w:szCs w:val="22"/>
          <w:lang w:val="en-US"/>
        </w:rPr>
        <w:t xml:space="preserve">Proposal 3: </w:t>
      </w:r>
      <w:r w:rsidR="0005625D" w:rsidRPr="0005625D">
        <w:t xml:space="preserve"> </w:t>
      </w:r>
      <w:r w:rsidR="0005625D" w:rsidRPr="0005625D">
        <w:rPr>
          <w:b/>
          <w:bCs/>
          <w:noProof/>
          <w:szCs w:val="22"/>
          <w:lang w:val="en-US"/>
        </w:rPr>
        <w:t>It is beneficial that multiple opportunities in time or frequency domain is supported for both preamble and MsgA payload transmission.</w:t>
      </w:r>
    </w:p>
    <w:p w14:paraId="2D601CD0" w14:textId="37BFD728" w:rsidR="00B04AFE" w:rsidRPr="006114BA" w:rsidRDefault="0005625D" w:rsidP="006114BA">
      <w:pPr>
        <w:spacing w:beforeLines="50" w:before="120" w:after="0"/>
        <w:rPr>
          <w:rFonts w:eastAsiaTheme="minorEastAsia"/>
          <w:b/>
          <w:bCs/>
          <w:noProof/>
          <w:szCs w:val="22"/>
          <w:lang w:val="en-US"/>
        </w:rPr>
      </w:pPr>
      <w:r>
        <w:rPr>
          <w:b/>
          <w:bCs/>
          <w:noProof/>
          <w:szCs w:val="22"/>
          <w:lang w:val="en-US"/>
        </w:rPr>
        <w:t xml:space="preserve">Proposal 4: </w:t>
      </w:r>
      <w:r w:rsidRPr="0005625D">
        <w:rPr>
          <w:b/>
          <w:bCs/>
          <w:noProof/>
          <w:szCs w:val="22"/>
          <w:lang w:val="en-US"/>
        </w:rPr>
        <w:t xml:space="preserve">It is beneficial that </w:t>
      </w:r>
      <w:bookmarkStart w:id="28" w:name="_GoBack"/>
      <w:bookmarkEnd w:id="28"/>
      <w:r w:rsidRPr="0005625D">
        <w:rPr>
          <w:b/>
          <w:bCs/>
          <w:noProof/>
          <w:szCs w:val="22"/>
          <w:lang w:val="en-US"/>
        </w:rPr>
        <w:t>multiple opportunities in frequency domain allocated in different LBT subband or serving cell is supported for both preamble and MsgA payload transmission.</w:t>
      </w:r>
    </w:p>
    <w:p w14:paraId="5B3E1873" w14:textId="77777777" w:rsidR="00B04AFE" w:rsidRDefault="00B04AFE" w:rsidP="00B04AFE">
      <w:pPr>
        <w:pStyle w:val="1"/>
      </w:pPr>
      <w:r>
        <w:t>References</w:t>
      </w:r>
    </w:p>
    <w:p w14:paraId="0C137964" w14:textId="6DF2F52A" w:rsidR="008A3230" w:rsidRPr="006114BA" w:rsidRDefault="00B04AFE" w:rsidP="006114BA">
      <w:pPr>
        <w:pStyle w:val="Reference"/>
        <w:widowControl w:val="0"/>
        <w:numPr>
          <w:ilvl w:val="0"/>
          <w:numId w:val="5"/>
        </w:numPr>
        <w:rPr>
          <w:rFonts w:eastAsiaTheme="minorEastAsia" w:cs="Arial"/>
          <w:lang w:val="de-DE"/>
        </w:rPr>
      </w:pPr>
      <w:bookmarkStart w:id="29" w:name="_Ref513478584"/>
      <w:r>
        <w:rPr>
          <w:noProof/>
        </w:rPr>
        <w:t xml:space="preserve">3GPP TR 38.889 </w:t>
      </w:r>
      <w:bookmarkEnd w:id="29"/>
    </w:p>
    <w:sectPr w:rsidR="008A3230" w:rsidRPr="006114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0AB4F" w14:textId="77777777" w:rsidR="00AB06D8" w:rsidRDefault="00AB06D8">
      <w:pPr>
        <w:spacing w:after="0"/>
      </w:pPr>
      <w:r>
        <w:separator/>
      </w:r>
    </w:p>
  </w:endnote>
  <w:endnote w:type="continuationSeparator" w:id="0">
    <w:p w14:paraId="3B7A3CB1" w14:textId="77777777" w:rsidR="00AB06D8" w:rsidRDefault="00AB06D8">
      <w:pPr>
        <w:spacing w:after="0"/>
      </w:pPr>
      <w:r>
        <w:continuationSeparator/>
      </w:r>
    </w:p>
  </w:endnote>
  <w:endnote w:type="continuationNotice" w:id="1">
    <w:p w14:paraId="03B4ABF9" w14:textId="77777777" w:rsidR="00AB06D8" w:rsidRDefault="00AB06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FEDEC" w14:textId="77777777" w:rsidR="00AB06D8" w:rsidRDefault="00AB06D8">
      <w:pPr>
        <w:spacing w:after="0"/>
      </w:pPr>
      <w:r>
        <w:separator/>
      </w:r>
    </w:p>
  </w:footnote>
  <w:footnote w:type="continuationSeparator" w:id="0">
    <w:p w14:paraId="6DDD319B" w14:textId="77777777" w:rsidR="00AB06D8" w:rsidRDefault="00AB06D8">
      <w:pPr>
        <w:spacing w:after="0"/>
      </w:pPr>
      <w:r>
        <w:continuationSeparator/>
      </w:r>
    </w:p>
  </w:footnote>
  <w:footnote w:type="continuationNotice" w:id="1">
    <w:p w14:paraId="7730F929" w14:textId="77777777" w:rsidR="00AB06D8" w:rsidRDefault="00AB06D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1FEE46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4D154EC"/>
    <w:multiLevelType w:val="hybridMultilevel"/>
    <w:tmpl w:val="527A8BD8"/>
    <w:lvl w:ilvl="0" w:tplc="0409000F">
      <w:start w:val="1"/>
      <w:numFmt w:val="decimal"/>
      <w:lvlText w:val="%1."/>
      <w:lvlJc w:val="left"/>
      <w:pPr>
        <w:ind w:left="1664" w:hanging="360"/>
      </w:p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B71FB"/>
    <w:multiLevelType w:val="hybridMultilevel"/>
    <w:tmpl w:val="004A61E8"/>
    <w:lvl w:ilvl="0" w:tplc="92C2CAE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16422A"/>
    <w:multiLevelType w:val="hybridMultilevel"/>
    <w:tmpl w:val="9222CA72"/>
    <w:lvl w:ilvl="0" w:tplc="04090001">
      <w:start w:val="1"/>
      <w:numFmt w:val="bullet"/>
      <w:lvlText w:val=""/>
      <w:lvlJc w:val="left"/>
      <w:pPr>
        <w:ind w:left="1450" w:hanging="360"/>
      </w:pPr>
      <w:rPr>
        <w:rFonts w:ascii="Symbol" w:hAnsi="Symbol"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6"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5B0C3218"/>
    <w:lvl w:ilvl="0" w:tplc="F56A886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305"/>
        </w:tabs>
        <w:ind w:left="305" w:hanging="360"/>
      </w:pPr>
    </w:lvl>
    <w:lvl w:ilvl="2" w:tplc="0409001B" w:tentative="1">
      <w:start w:val="1"/>
      <w:numFmt w:val="lowerRoman"/>
      <w:lvlText w:val="%3."/>
      <w:lvlJc w:val="right"/>
      <w:pPr>
        <w:tabs>
          <w:tab w:val="num" w:pos="1025"/>
        </w:tabs>
        <w:ind w:left="1025" w:hanging="180"/>
      </w:pPr>
    </w:lvl>
    <w:lvl w:ilvl="3" w:tplc="0409000F" w:tentative="1">
      <w:start w:val="1"/>
      <w:numFmt w:val="decimal"/>
      <w:lvlText w:val="%4."/>
      <w:lvlJc w:val="left"/>
      <w:pPr>
        <w:tabs>
          <w:tab w:val="num" w:pos="1745"/>
        </w:tabs>
        <w:ind w:left="1745" w:hanging="360"/>
      </w:pPr>
    </w:lvl>
    <w:lvl w:ilvl="4" w:tplc="04090019" w:tentative="1">
      <w:start w:val="1"/>
      <w:numFmt w:val="lowerLetter"/>
      <w:lvlText w:val="%5."/>
      <w:lvlJc w:val="left"/>
      <w:pPr>
        <w:tabs>
          <w:tab w:val="num" w:pos="2465"/>
        </w:tabs>
        <w:ind w:left="2465" w:hanging="360"/>
      </w:pPr>
    </w:lvl>
    <w:lvl w:ilvl="5" w:tplc="0409001B" w:tentative="1">
      <w:start w:val="1"/>
      <w:numFmt w:val="lowerRoman"/>
      <w:lvlText w:val="%6."/>
      <w:lvlJc w:val="right"/>
      <w:pPr>
        <w:tabs>
          <w:tab w:val="num" w:pos="3185"/>
        </w:tabs>
        <w:ind w:left="3185" w:hanging="180"/>
      </w:pPr>
    </w:lvl>
    <w:lvl w:ilvl="6" w:tplc="0409000F" w:tentative="1">
      <w:start w:val="1"/>
      <w:numFmt w:val="decimal"/>
      <w:lvlText w:val="%7."/>
      <w:lvlJc w:val="left"/>
      <w:pPr>
        <w:tabs>
          <w:tab w:val="num" w:pos="3905"/>
        </w:tabs>
        <w:ind w:left="3905" w:hanging="360"/>
      </w:pPr>
    </w:lvl>
    <w:lvl w:ilvl="7" w:tplc="04090019" w:tentative="1">
      <w:start w:val="1"/>
      <w:numFmt w:val="lowerLetter"/>
      <w:lvlText w:val="%8."/>
      <w:lvlJc w:val="left"/>
      <w:pPr>
        <w:tabs>
          <w:tab w:val="num" w:pos="4625"/>
        </w:tabs>
        <w:ind w:left="4625" w:hanging="360"/>
      </w:pPr>
    </w:lvl>
    <w:lvl w:ilvl="8" w:tplc="0409001B" w:tentative="1">
      <w:start w:val="1"/>
      <w:numFmt w:val="lowerRoman"/>
      <w:lvlText w:val="%9."/>
      <w:lvlJc w:val="right"/>
      <w:pPr>
        <w:tabs>
          <w:tab w:val="num" w:pos="5345"/>
        </w:tabs>
        <w:ind w:left="5345" w:hanging="180"/>
      </w:pPr>
    </w:lvl>
  </w:abstractNum>
  <w:abstractNum w:abstractNumId="8"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80B0835"/>
    <w:multiLevelType w:val="hybridMultilevel"/>
    <w:tmpl w:val="0A9AF272"/>
    <w:lvl w:ilvl="0" w:tplc="409A9E3A">
      <w:start w:val="1"/>
      <w:numFmt w:val="bullet"/>
      <w:lvlText w:val=""/>
      <w:lvlJc w:val="left"/>
      <w:pPr>
        <w:tabs>
          <w:tab w:val="num" w:pos="-4131"/>
        </w:tabs>
        <w:ind w:left="-4131" w:hanging="360"/>
      </w:pPr>
      <w:rPr>
        <w:rFonts w:ascii="Symbol" w:hAnsi="Symbol" w:hint="default"/>
        <w:b/>
        <w:i w:val="0"/>
        <w:color w:val="auto"/>
        <w:sz w:val="22"/>
      </w:rPr>
    </w:lvl>
    <w:lvl w:ilvl="1" w:tplc="04090003">
      <w:start w:val="1"/>
      <w:numFmt w:val="bullet"/>
      <w:lvlText w:val="o"/>
      <w:lvlJc w:val="left"/>
      <w:pPr>
        <w:tabs>
          <w:tab w:val="num" w:pos="-4310"/>
        </w:tabs>
        <w:ind w:left="-4310" w:hanging="360"/>
      </w:pPr>
      <w:rPr>
        <w:rFonts w:ascii="Courier New" w:hAnsi="Courier New" w:cs="Courier New" w:hint="default"/>
      </w:rPr>
    </w:lvl>
    <w:lvl w:ilvl="2" w:tplc="04090005">
      <w:start w:val="1"/>
      <w:numFmt w:val="bullet"/>
      <w:lvlText w:val=""/>
      <w:lvlJc w:val="left"/>
      <w:pPr>
        <w:tabs>
          <w:tab w:val="num" w:pos="-3590"/>
        </w:tabs>
        <w:ind w:left="-3590" w:hanging="360"/>
      </w:pPr>
      <w:rPr>
        <w:rFonts w:ascii="Wingdings" w:hAnsi="Wingdings" w:hint="default"/>
      </w:rPr>
    </w:lvl>
    <w:lvl w:ilvl="3" w:tplc="04090001">
      <w:start w:val="1"/>
      <w:numFmt w:val="bullet"/>
      <w:lvlText w:val=""/>
      <w:lvlJc w:val="left"/>
      <w:pPr>
        <w:tabs>
          <w:tab w:val="num" w:pos="-2870"/>
        </w:tabs>
        <w:ind w:left="-2870" w:hanging="360"/>
      </w:pPr>
      <w:rPr>
        <w:rFonts w:ascii="Symbol" w:hAnsi="Symbol" w:hint="default"/>
      </w:rPr>
    </w:lvl>
    <w:lvl w:ilvl="4" w:tplc="04090003">
      <w:start w:val="1"/>
      <w:numFmt w:val="bullet"/>
      <w:lvlText w:val="o"/>
      <w:lvlJc w:val="left"/>
      <w:pPr>
        <w:tabs>
          <w:tab w:val="num" w:pos="-2150"/>
        </w:tabs>
        <w:ind w:left="-2150" w:hanging="360"/>
      </w:pPr>
      <w:rPr>
        <w:rFonts w:ascii="Courier New" w:hAnsi="Courier New" w:cs="Courier New" w:hint="default"/>
      </w:rPr>
    </w:lvl>
    <w:lvl w:ilvl="5" w:tplc="04090005">
      <w:start w:val="1"/>
      <w:numFmt w:val="bullet"/>
      <w:lvlText w:val=""/>
      <w:lvlJc w:val="left"/>
      <w:pPr>
        <w:tabs>
          <w:tab w:val="num" w:pos="-1430"/>
        </w:tabs>
        <w:ind w:left="-1430" w:hanging="360"/>
      </w:pPr>
      <w:rPr>
        <w:rFonts w:ascii="Wingdings" w:hAnsi="Wingdings" w:hint="default"/>
      </w:rPr>
    </w:lvl>
    <w:lvl w:ilvl="6" w:tplc="04090001">
      <w:start w:val="1"/>
      <w:numFmt w:val="bullet"/>
      <w:lvlText w:val=""/>
      <w:lvlJc w:val="left"/>
      <w:pPr>
        <w:tabs>
          <w:tab w:val="num" w:pos="-710"/>
        </w:tabs>
        <w:ind w:left="-710" w:hanging="360"/>
      </w:pPr>
      <w:rPr>
        <w:rFonts w:ascii="Symbol" w:hAnsi="Symbol" w:hint="default"/>
      </w:rPr>
    </w:lvl>
    <w:lvl w:ilvl="7" w:tplc="04090003">
      <w:start w:val="1"/>
      <w:numFmt w:val="bullet"/>
      <w:lvlText w:val="o"/>
      <w:lvlJc w:val="left"/>
      <w:pPr>
        <w:tabs>
          <w:tab w:val="num" w:pos="10"/>
        </w:tabs>
        <w:ind w:left="10" w:hanging="360"/>
      </w:pPr>
      <w:rPr>
        <w:rFonts w:ascii="Courier New" w:hAnsi="Courier New" w:cs="Courier New" w:hint="default"/>
      </w:rPr>
    </w:lvl>
    <w:lvl w:ilvl="8" w:tplc="0409000F">
      <w:start w:val="1"/>
      <w:numFmt w:val="decimal"/>
      <w:lvlText w:val="%9."/>
      <w:lvlJc w:val="left"/>
      <w:pPr>
        <w:tabs>
          <w:tab w:val="num" w:pos="730"/>
        </w:tabs>
        <w:ind w:left="730" w:hanging="360"/>
      </w:pPr>
      <w:rPr>
        <w:rFonts w:hint="default"/>
      </w:rPr>
    </w:lvl>
  </w:abstractNum>
  <w:abstractNum w:abstractNumId="10"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504239"/>
    <w:multiLevelType w:val="hybridMultilevel"/>
    <w:tmpl w:val="96C23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5A7104"/>
    <w:multiLevelType w:val="hybridMultilevel"/>
    <w:tmpl w:val="FA74E77A"/>
    <w:lvl w:ilvl="0" w:tplc="04090001">
      <w:start w:val="1"/>
      <w:numFmt w:val="bullet"/>
      <w:lvlText w:val=""/>
      <w:lvlJc w:val="left"/>
      <w:pPr>
        <w:ind w:left="1664" w:hanging="360"/>
      </w:pPr>
      <w:rPr>
        <w:rFonts w:ascii="Wingdings" w:hAnsi="Wingding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2178D3"/>
    <w:multiLevelType w:val="hybridMultilevel"/>
    <w:tmpl w:val="527A8BD8"/>
    <w:lvl w:ilvl="0" w:tplc="0409000F">
      <w:start w:val="1"/>
      <w:numFmt w:val="decimal"/>
      <w:lvlText w:val="%1."/>
      <w:lvlJc w:val="left"/>
      <w:pPr>
        <w:ind w:left="1664" w:hanging="360"/>
      </w:p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6"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10"/>
  </w:num>
  <w:num w:numId="3">
    <w:abstractNumId w:val="7"/>
  </w:num>
  <w:num w:numId="4">
    <w:abstractNumId w:val="1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3"/>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6"/>
  </w:num>
  <w:num w:numId="12">
    <w:abstractNumId w:val="4"/>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5"/>
  </w:num>
  <w:num w:numId="18">
    <w:abstractNumId w:val="7"/>
    <w:lvlOverride w:ilvl="0">
      <w:startOverride w:val="1"/>
    </w:lvlOverride>
  </w:num>
  <w:num w:numId="19">
    <w:abstractNumId w:val="7"/>
    <w:lvlOverride w:ilvl="0">
      <w:startOverride w:val="1"/>
    </w:lvlOverride>
  </w:num>
  <w:num w:numId="20">
    <w:abstractNumId w:val="15"/>
  </w:num>
  <w:num w:numId="21">
    <w:abstractNumId w:val="13"/>
  </w:num>
  <w:num w:numId="2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6FD"/>
    <w:rsid w:val="00051FFF"/>
    <w:rsid w:val="00052B8A"/>
    <w:rsid w:val="0005369A"/>
    <w:rsid w:val="0005397D"/>
    <w:rsid w:val="00054E7A"/>
    <w:rsid w:val="0005625D"/>
    <w:rsid w:val="000562AA"/>
    <w:rsid w:val="00057CD4"/>
    <w:rsid w:val="00060A87"/>
    <w:rsid w:val="00067987"/>
    <w:rsid w:val="000704D2"/>
    <w:rsid w:val="00071B1C"/>
    <w:rsid w:val="00073D40"/>
    <w:rsid w:val="000768C6"/>
    <w:rsid w:val="00076D71"/>
    <w:rsid w:val="000807BB"/>
    <w:rsid w:val="00081D9F"/>
    <w:rsid w:val="0008218C"/>
    <w:rsid w:val="00084147"/>
    <w:rsid w:val="00094D35"/>
    <w:rsid w:val="00094FD4"/>
    <w:rsid w:val="000963C6"/>
    <w:rsid w:val="00096FB2"/>
    <w:rsid w:val="000A099B"/>
    <w:rsid w:val="000A1ECE"/>
    <w:rsid w:val="000A4992"/>
    <w:rsid w:val="000B36A9"/>
    <w:rsid w:val="000B5BC5"/>
    <w:rsid w:val="000B6512"/>
    <w:rsid w:val="000B6680"/>
    <w:rsid w:val="000B6CBC"/>
    <w:rsid w:val="000B6D70"/>
    <w:rsid w:val="000B7646"/>
    <w:rsid w:val="000C0B87"/>
    <w:rsid w:val="000C1066"/>
    <w:rsid w:val="000C10AF"/>
    <w:rsid w:val="000C3525"/>
    <w:rsid w:val="000C37F0"/>
    <w:rsid w:val="000C4A78"/>
    <w:rsid w:val="000C5987"/>
    <w:rsid w:val="000D04E0"/>
    <w:rsid w:val="000D2641"/>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6152"/>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F81"/>
    <w:rsid w:val="0019221F"/>
    <w:rsid w:val="001923AB"/>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1AF6"/>
    <w:rsid w:val="001C1EFC"/>
    <w:rsid w:val="001C2143"/>
    <w:rsid w:val="001C2828"/>
    <w:rsid w:val="001C334A"/>
    <w:rsid w:val="001C3E65"/>
    <w:rsid w:val="001C5113"/>
    <w:rsid w:val="001C7C59"/>
    <w:rsid w:val="001D026F"/>
    <w:rsid w:val="001D0E21"/>
    <w:rsid w:val="001D356C"/>
    <w:rsid w:val="001D6AD2"/>
    <w:rsid w:val="001E2131"/>
    <w:rsid w:val="001E21DC"/>
    <w:rsid w:val="001E270B"/>
    <w:rsid w:val="001E3DF0"/>
    <w:rsid w:val="001F6E2B"/>
    <w:rsid w:val="00203669"/>
    <w:rsid w:val="00204546"/>
    <w:rsid w:val="002065D1"/>
    <w:rsid w:val="00210394"/>
    <w:rsid w:val="0021214E"/>
    <w:rsid w:val="00213D5F"/>
    <w:rsid w:val="0021411B"/>
    <w:rsid w:val="00215274"/>
    <w:rsid w:val="00216252"/>
    <w:rsid w:val="00216405"/>
    <w:rsid w:val="002164F4"/>
    <w:rsid w:val="0022061F"/>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5740D"/>
    <w:rsid w:val="00260E9E"/>
    <w:rsid w:val="00260EB2"/>
    <w:rsid w:val="00262915"/>
    <w:rsid w:val="002636F4"/>
    <w:rsid w:val="00263890"/>
    <w:rsid w:val="002644EB"/>
    <w:rsid w:val="00267A79"/>
    <w:rsid w:val="00274268"/>
    <w:rsid w:val="00274C5B"/>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F203B"/>
    <w:rsid w:val="002F2D17"/>
    <w:rsid w:val="002F33F3"/>
    <w:rsid w:val="002F4896"/>
    <w:rsid w:val="002F4FE3"/>
    <w:rsid w:val="002F555E"/>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3576"/>
    <w:rsid w:val="003E60FC"/>
    <w:rsid w:val="003F1AA0"/>
    <w:rsid w:val="003F3E8A"/>
    <w:rsid w:val="003F6EB9"/>
    <w:rsid w:val="00402745"/>
    <w:rsid w:val="004027F2"/>
    <w:rsid w:val="00402D69"/>
    <w:rsid w:val="00402E9A"/>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0B8A"/>
    <w:rsid w:val="00433BE3"/>
    <w:rsid w:val="004344B7"/>
    <w:rsid w:val="004356DE"/>
    <w:rsid w:val="004412D2"/>
    <w:rsid w:val="0044206F"/>
    <w:rsid w:val="00442A5B"/>
    <w:rsid w:val="00442EC8"/>
    <w:rsid w:val="00442F81"/>
    <w:rsid w:val="0044357F"/>
    <w:rsid w:val="00443B52"/>
    <w:rsid w:val="00447FB3"/>
    <w:rsid w:val="00450451"/>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A6EE9"/>
    <w:rsid w:val="004B04F8"/>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5562"/>
    <w:rsid w:val="004E6201"/>
    <w:rsid w:val="004E7852"/>
    <w:rsid w:val="004F0718"/>
    <w:rsid w:val="004F3817"/>
    <w:rsid w:val="004F6A46"/>
    <w:rsid w:val="004F797F"/>
    <w:rsid w:val="004F7AAE"/>
    <w:rsid w:val="004F7B89"/>
    <w:rsid w:val="0050009D"/>
    <w:rsid w:val="00500B90"/>
    <w:rsid w:val="005010B0"/>
    <w:rsid w:val="005021C7"/>
    <w:rsid w:val="005039CF"/>
    <w:rsid w:val="00507122"/>
    <w:rsid w:val="00510E78"/>
    <w:rsid w:val="005137EC"/>
    <w:rsid w:val="005150B4"/>
    <w:rsid w:val="00522834"/>
    <w:rsid w:val="00522963"/>
    <w:rsid w:val="00524CCA"/>
    <w:rsid w:val="0052565C"/>
    <w:rsid w:val="005257F7"/>
    <w:rsid w:val="00526599"/>
    <w:rsid w:val="00526AB4"/>
    <w:rsid w:val="00527F96"/>
    <w:rsid w:val="0053487F"/>
    <w:rsid w:val="005411C2"/>
    <w:rsid w:val="0054568F"/>
    <w:rsid w:val="00551CF5"/>
    <w:rsid w:val="0055272A"/>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5ECC"/>
    <w:rsid w:val="005C70F6"/>
    <w:rsid w:val="005D007D"/>
    <w:rsid w:val="005D2F44"/>
    <w:rsid w:val="005D3EFD"/>
    <w:rsid w:val="005D4FBC"/>
    <w:rsid w:val="005D5AE1"/>
    <w:rsid w:val="005D61F3"/>
    <w:rsid w:val="005D6580"/>
    <w:rsid w:val="005E24B7"/>
    <w:rsid w:val="005E34D9"/>
    <w:rsid w:val="005E358F"/>
    <w:rsid w:val="005E5519"/>
    <w:rsid w:val="005E56E5"/>
    <w:rsid w:val="005E64E8"/>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14BA"/>
    <w:rsid w:val="006129E6"/>
    <w:rsid w:val="006137B7"/>
    <w:rsid w:val="006138CA"/>
    <w:rsid w:val="006140C6"/>
    <w:rsid w:val="00616BEE"/>
    <w:rsid w:val="00623112"/>
    <w:rsid w:val="00623601"/>
    <w:rsid w:val="0062612F"/>
    <w:rsid w:val="00626476"/>
    <w:rsid w:val="00630719"/>
    <w:rsid w:val="0063158F"/>
    <w:rsid w:val="006317C5"/>
    <w:rsid w:val="006321CA"/>
    <w:rsid w:val="00633AAF"/>
    <w:rsid w:val="0063490E"/>
    <w:rsid w:val="00634D4C"/>
    <w:rsid w:val="00636F73"/>
    <w:rsid w:val="006400D8"/>
    <w:rsid w:val="00640D73"/>
    <w:rsid w:val="0064246C"/>
    <w:rsid w:val="00642939"/>
    <w:rsid w:val="0064417C"/>
    <w:rsid w:val="0064454E"/>
    <w:rsid w:val="0064462E"/>
    <w:rsid w:val="006541C1"/>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082C"/>
    <w:rsid w:val="006A1E8B"/>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380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504B"/>
    <w:rsid w:val="007753EF"/>
    <w:rsid w:val="007762F4"/>
    <w:rsid w:val="00780DE8"/>
    <w:rsid w:val="0078141E"/>
    <w:rsid w:val="00784611"/>
    <w:rsid w:val="00790D2C"/>
    <w:rsid w:val="00791F3F"/>
    <w:rsid w:val="007924A0"/>
    <w:rsid w:val="007956B7"/>
    <w:rsid w:val="00795F02"/>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B1168"/>
    <w:rsid w:val="008B1886"/>
    <w:rsid w:val="008B371B"/>
    <w:rsid w:val="008B3A0B"/>
    <w:rsid w:val="008C0EDB"/>
    <w:rsid w:val="008C16B7"/>
    <w:rsid w:val="008C7F1D"/>
    <w:rsid w:val="008D442B"/>
    <w:rsid w:val="008D4E73"/>
    <w:rsid w:val="008D5E65"/>
    <w:rsid w:val="008D72CF"/>
    <w:rsid w:val="008E1CCF"/>
    <w:rsid w:val="008E1EFF"/>
    <w:rsid w:val="008E4743"/>
    <w:rsid w:val="008E7092"/>
    <w:rsid w:val="008E7506"/>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7A7B"/>
    <w:rsid w:val="009D0245"/>
    <w:rsid w:val="009D16E7"/>
    <w:rsid w:val="009D3CE5"/>
    <w:rsid w:val="009D433C"/>
    <w:rsid w:val="009D5361"/>
    <w:rsid w:val="009D7AA5"/>
    <w:rsid w:val="009E391C"/>
    <w:rsid w:val="009E59BD"/>
    <w:rsid w:val="009F0129"/>
    <w:rsid w:val="009F163B"/>
    <w:rsid w:val="009F237C"/>
    <w:rsid w:val="009F3206"/>
    <w:rsid w:val="009F4D5C"/>
    <w:rsid w:val="009F59D7"/>
    <w:rsid w:val="009F703D"/>
    <w:rsid w:val="00A04969"/>
    <w:rsid w:val="00A050E7"/>
    <w:rsid w:val="00A0560D"/>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4A49"/>
    <w:rsid w:val="00A45553"/>
    <w:rsid w:val="00A46EF6"/>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CF"/>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6D8"/>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E5D76"/>
    <w:rsid w:val="00AF0E2C"/>
    <w:rsid w:val="00AF2816"/>
    <w:rsid w:val="00AF3D13"/>
    <w:rsid w:val="00AF73BF"/>
    <w:rsid w:val="00AF754E"/>
    <w:rsid w:val="00B00B19"/>
    <w:rsid w:val="00B03D6A"/>
    <w:rsid w:val="00B04AFE"/>
    <w:rsid w:val="00B06F01"/>
    <w:rsid w:val="00B079CA"/>
    <w:rsid w:val="00B10EAD"/>
    <w:rsid w:val="00B1161D"/>
    <w:rsid w:val="00B1214B"/>
    <w:rsid w:val="00B13192"/>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53DD"/>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4B0D"/>
    <w:rsid w:val="00C35DA0"/>
    <w:rsid w:val="00C36DEE"/>
    <w:rsid w:val="00C4088A"/>
    <w:rsid w:val="00C41606"/>
    <w:rsid w:val="00C41BBC"/>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29BD"/>
    <w:rsid w:val="00C84049"/>
    <w:rsid w:val="00C90417"/>
    <w:rsid w:val="00C91055"/>
    <w:rsid w:val="00C9181C"/>
    <w:rsid w:val="00C925C5"/>
    <w:rsid w:val="00C92F89"/>
    <w:rsid w:val="00C94714"/>
    <w:rsid w:val="00C957D0"/>
    <w:rsid w:val="00CA06B5"/>
    <w:rsid w:val="00CA20E9"/>
    <w:rsid w:val="00CA2855"/>
    <w:rsid w:val="00CA2FBB"/>
    <w:rsid w:val="00CA4610"/>
    <w:rsid w:val="00CA53E6"/>
    <w:rsid w:val="00CA7610"/>
    <w:rsid w:val="00CB3C6C"/>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277AC"/>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9E5"/>
    <w:rsid w:val="00E6252D"/>
    <w:rsid w:val="00E6311F"/>
    <w:rsid w:val="00E63B85"/>
    <w:rsid w:val="00E67C4C"/>
    <w:rsid w:val="00E71978"/>
    <w:rsid w:val="00E72F15"/>
    <w:rsid w:val="00E74691"/>
    <w:rsid w:val="00E74E9D"/>
    <w:rsid w:val="00E77475"/>
    <w:rsid w:val="00E844CF"/>
    <w:rsid w:val="00E85C22"/>
    <w:rsid w:val="00E87101"/>
    <w:rsid w:val="00E901B9"/>
    <w:rsid w:val="00E90305"/>
    <w:rsid w:val="00E938EF"/>
    <w:rsid w:val="00E949A5"/>
    <w:rsid w:val="00E961B8"/>
    <w:rsid w:val="00E96E3E"/>
    <w:rsid w:val="00EA1F86"/>
    <w:rsid w:val="00EA24F7"/>
    <w:rsid w:val="00EA26A1"/>
    <w:rsid w:val="00EA2C43"/>
    <w:rsid w:val="00EA3094"/>
    <w:rsid w:val="00EA3969"/>
    <w:rsid w:val="00EA468D"/>
    <w:rsid w:val="00EA5111"/>
    <w:rsid w:val="00EB049C"/>
    <w:rsid w:val="00EB37AB"/>
    <w:rsid w:val="00EB492E"/>
    <w:rsid w:val="00EB4F16"/>
    <w:rsid w:val="00EC0FB7"/>
    <w:rsid w:val="00EC161A"/>
    <w:rsid w:val="00EC47E4"/>
    <w:rsid w:val="00EC4AB4"/>
    <w:rsid w:val="00EC5C3F"/>
    <w:rsid w:val="00EC60BE"/>
    <w:rsid w:val="00ED1933"/>
    <w:rsid w:val="00ED5B09"/>
    <w:rsid w:val="00ED6601"/>
    <w:rsid w:val="00ED7528"/>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4FD4"/>
    <w:rsid w:val="00F25148"/>
    <w:rsid w:val="00F31475"/>
    <w:rsid w:val="00F34317"/>
    <w:rsid w:val="00F35CE6"/>
    <w:rsid w:val="00F37AD3"/>
    <w:rsid w:val="00F41654"/>
    <w:rsid w:val="00F434E3"/>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left" w:pos="1701"/>
      </w:tabs>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af2">
    <w:name w:val="Emphasis"/>
    <w:uiPriority w:val="20"/>
    <w:qFormat/>
    <w:rsid w:val="00616BEE"/>
    <w:rPr>
      <w:i/>
      <w:iCs/>
    </w:rPr>
  </w:style>
  <w:style w:type="paragraph" w:styleId="af3">
    <w:name w:val="Normal (Web)"/>
    <w:basedOn w:val="a"/>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a"/>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a"/>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 w:type="paragraph" w:customStyle="1" w:styleId="20">
    <w:name w:val="样式2"/>
    <w:basedOn w:val="3"/>
    <w:qFormat/>
    <w:rsid w:val="00F24FD4"/>
    <w:pPr>
      <w:keepNext w:val="0"/>
      <w:keepLines w:val="0"/>
      <w:numPr>
        <w:ilvl w:val="0"/>
        <w:numId w:val="0"/>
      </w:numPr>
      <w:tabs>
        <w:tab w:val="num" w:pos="720"/>
      </w:tabs>
      <w:spacing w:beforeLines="50" w:before="0"/>
      <w:ind w:left="720" w:hanging="720"/>
    </w:pPr>
    <w:rPr>
      <w:rFonts w:ascii="Times New Roman" w:eastAsia="宋体" w:hAnsi="Times New Roman" w:cs="Times New Roman"/>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88040937">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51B1281-8CE6-465B-AC8D-D60F2919B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1348</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Yinghaoguo (Huawei Wireless)</cp:lastModifiedBy>
  <cp:revision>32</cp:revision>
  <dcterms:created xsi:type="dcterms:W3CDTF">2019-09-29T10:18:00Z</dcterms:created>
  <dcterms:modified xsi:type="dcterms:W3CDTF">2019-10-03T16:56:00Z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(3)8YrYWdEKQ7QoOBgG5ZlXDlqDAK7KTe5whl0YOVktm8rprSJjfF76UU7iqy9wlE1obGFFOLdU
D1oJg+8aZrcwxT9GZcefSDEEIJj5AWjp/zL6+aZDgBD3SYxkMPs8ZQCZ0ZKXdW8WJU+7Atj6
L3OwrQIr4pvwfi50IR9y3NQJWLHVAneUSv72sEfnppJd7ADajYNAmh/3VT0QMtL/qep6IZSd
qngD56qnt2dtpyifnK</vt:lpwstr>
  </property>
  <property fmtid="{D5CDD505-2E9C-101B-9397-08002B2CF9AE}" pid="17" name="_2015_ms_pID_7253431">
    <vt:lpwstr>UvRQYzl+1wbVymLiHH7C4Z6ssKhQhOQxr1OnlrSx0CaAdA42Vz2mx5
xZv9KmbtlK+I1ze6QooybRiLK1Q1ayq9vZZdhue5t4RcF8yLfyrb8eF+elFLcSNXiH5YCoam
4fA+AQCHee4XDEqo9ufUQNMXb0wACP9nDcwafq2vNV9rXOaK8CPDs/M1kAluniIHlzfrnV5D
x/PlVQMmLJZf3pRKvrxPSWJMchKrmraAPawh</vt:lpwstr>
  </property>
  <property fmtid="{D5CDD505-2E9C-101B-9397-08002B2CF9AE}" pid="18" name="_2015_ms_pID_7253432">
    <vt:lpwstr>fh700AnFyNONYY4knKFlcSg=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1570121653</vt:lpwstr>
  </property>
</Properties>
</file>